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69BCA" w14:textId="71B8FB75" w:rsidR="00C84CEF" w:rsidRDefault="00C84CEF" w:rsidP="00C84CEF">
      <w:pPr>
        <w:rPr>
          <w:rFonts w:ascii="Times New Roman" w:hAnsi="Times New Roman"/>
        </w:rPr>
      </w:pPr>
      <w:bookmarkStart w:id="0" w:name="_GoBack"/>
      <w:bookmarkEnd w:id="0"/>
      <w:r w:rsidRPr="00F266CE">
        <w:rPr>
          <w:rFonts w:ascii="Times New Roman" w:hAnsi="Times New Roman"/>
        </w:rPr>
        <w:t>Department</w:t>
      </w:r>
      <w:r w:rsidR="003B51D0">
        <w:rPr>
          <w:rFonts w:ascii="Times New Roman" w:hAnsi="Times New Roman"/>
        </w:rPr>
        <w:t>/ Discipline</w:t>
      </w:r>
      <w:r w:rsidRPr="00F266CE">
        <w:rPr>
          <w:rFonts w:ascii="Times New Roman" w:hAnsi="Times New Roman"/>
        </w:rPr>
        <w:t xml:space="preserve">: </w:t>
      </w:r>
      <w:bookmarkStart w:id="1" w:name="Text2"/>
      <w:r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"/>
    </w:p>
    <w:p w14:paraId="2FBD906E" w14:textId="165A94DE" w:rsidR="00F37118" w:rsidRDefault="00F37118" w:rsidP="00C84CEF">
      <w:pPr>
        <w:rPr>
          <w:rFonts w:ascii="Times New Roman" w:hAnsi="Times New Roman"/>
        </w:rPr>
      </w:pPr>
      <w:r w:rsidRPr="00F266CE">
        <w:rPr>
          <w:rFonts w:ascii="Times New Roman" w:hAnsi="Times New Roman"/>
        </w:rPr>
        <w:t xml:space="preserve">Course: </w:t>
      </w:r>
      <w:bookmarkStart w:id="2" w:name="Text3"/>
      <w:r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2"/>
    </w:p>
    <w:p w14:paraId="2283580C" w14:textId="77777777" w:rsidR="00C84CEF" w:rsidRDefault="00C84CEF" w:rsidP="00C84CE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of person submitting this document: </w:t>
      </w:r>
      <w:r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23D578A9" w14:textId="384AFC4B" w:rsidR="00C84CEF" w:rsidRDefault="00941798" w:rsidP="00C84CE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Assessment Coach: </w:t>
      </w:r>
      <w:r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51B98E8C" w14:textId="69D8DA97" w:rsidR="00E85656" w:rsidRPr="00F91A4B" w:rsidRDefault="00A75EE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 Submitted: </w:t>
      </w:r>
      <w:r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6CE7A141" w14:textId="77777777" w:rsidR="00C84CEF" w:rsidRDefault="00C84CEF"/>
    <w:p w14:paraId="706D7906" w14:textId="1992BC3B" w:rsidR="00573F2D" w:rsidRDefault="00573F2D">
      <w:r w:rsidRPr="00573F2D">
        <w:rPr>
          <w:b/>
        </w:rPr>
        <w:t>Directions:</w:t>
      </w:r>
      <w:r>
        <w:t xml:space="preserve"> </w:t>
      </w:r>
      <w:r w:rsidRPr="00533686">
        <w:t xml:space="preserve">Working with your Assessment Coach, complete the Rubric for Reassessment. Within each domain, </w:t>
      </w:r>
      <w:r>
        <w:t>highlight</w:t>
      </w:r>
      <w:r w:rsidRPr="00533686">
        <w:t xml:space="preserve"> the appropriate performance level and add comments, as necessary.  To meet the criteria, the DAT and Assessment Coach should reach a consensus. </w:t>
      </w:r>
      <w:r w:rsidRPr="00533686">
        <w:rPr>
          <w:b/>
        </w:rPr>
        <w:t xml:space="preserve">An assessment must score in the “Good” performance level or higher in at least </w:t>
      </w:r>
      <w:r w:rsidRPr="00533686">
        <w:rPr>
          <w:b/>
          <w:u w:val="single"/>
        </w:rPr>
        <w:t>3</w:t>
      </w:r>
      <w:r w:rsidRPr="00533686">
        <w:rPr>
          <w:b/>
        </w:rPr>
        <w:t xml:space="preserve"> of the domains. The course should be reassessed with an action plan if any of the domains are deemed as “Below Average” or “Unsatisfactory.”</w:t>
      </w:r>
      <w:r w:rsidRPr="00533686">
        <w:rPr>
          <w:i/>
        </w:rPr>
        <w:t xml:space="preserve"> </w:t>
      </w:r>
    </w:p>
    <w:p w14:paraId="32C8CE0C" w14:textId="77777777" w:rsidR="00573F2D" w:rsidRDefault="00573F2D"/>
    <w:p w14:paraId="5C95675E" w14:textId="77777777" w:rsidR="00573F2D" w:rsidRDefault="00573F2D"/>
    <w:tbl>
      <w:tblPr>
        <w:tblStyle w:val="TableGrid"/>
        <w:tblW w:w="5595" w:type="pct"/>
        <w:jc w:val="center"/>
        <w:tblLook w:val="00A0" w:firstRow="1" w:lastRow="0" w:firstColumn="1" w:lastColumn="0" w:noHBand="0" w:noVBand="0"/>
      </w:tblPr>
      <w:tblGrid>
        <w:gridCol w:w="1924"/>
        <w:gridCol w:w="2043"/>
        <w:gridCol w:w="2043"/>
        <w:gridCol w:w="2043"/>
        <w:gridCol w:w="2043"/>
        <w:gridCol w:w="1666"/>
        <w:gridCol w:w="1352"/>
        <w:gridCol w:w="1377"/>
      </w:tblGrid>
      <w:tr w:rsidR="00C84CEF" w:rsidRPr="002C1DA3" w14:paraId="51BFD86E" w14:textId="77777777" w:rsidTr="00BD1581">
        <w:trPr>
          <w:jc w:val="center"/>
        </w:trPr>
        <w:tc>
          <w:tcPr>
            <w:tcW w:w="664" w:type="pct"/>
            <w:shd w:val="clear" w:color="auto" w:fill="B8CCE4"/>
            <w:vAlign w:val="bottom"/>
          </w:tcPr>
          <w:p w14:paraId="28E23AC2" w14:textId="77777777" w:rsidR="00C84CEF" w:rsidRPr="002C1DA3" w:rsidRDefault="00C84CEF" w:rsidP="00C84CEF">
            <w:pPr>
              <w:jc w:val="center"/>
              <w:rPr>
                <w:sz w:val="20"/>
              </w:rPr>
            </w:pPr>
          </w:p>
        </w:tc>
        <w:tc>
          <w:tcPr>
            <w:tcW w:w="705" w:type="pct"/>
            <w:vAlign w:val="bottom"/>
          </w:tcPr>
          <w:p w14:paraId="09F4F434" w14:textId="77777777" w:rsidR="00C84CEF" w:rsidRPr="002C1DA3" w:rsidRDefault="00C84CEF" w:rsidP="00C84CEF">
            <w:pPr>
              <w:jc w:val="center"/>
            </w:pPr>
            <w:r w:rsidRPr="002C1DA3">
              <w:t>Excellent</w:t>
            </w:r>
          </w:p>
        </w:tc>
        <w:tc>
          <w:tcPr>
            <w:tcW w:w="705" w:type="pct"/>
            <w:vAlign w:val="bottom"/>
          </w:tcPr>
          <w:p w14:paraId="15492C8F" w14:textId="77777777" w:rsidR="00C84CEF" w:rsidRPr="002C1DA3" w:rsidRDefault="00C84CEF" w:rsidP="00C84CEF">
            <w:pPr>
              <w:jc w:val="center"/>
            </w:pPr>
            <w:r w:rsidRPr="002C1DA3">
              <w:t>Good</w:t>
            </w:r>
          </w:p>
        </w:tc>
        <w:tc>
          <w:tcPr>
            <w:tcW w:w="705" w:type="pct"/>
            <w:vAlign w:val="bottom"/>
          </w:tcPr>
          <w:p w14:paraId="333F303C" w14:textId="77777777" w:rsidR="00C84CEF" w:rsidRPr="002C1DA3" w:rsidRDefault="00C84CEF" w:rsidP="00C84CEF">
            <w:pPr>
              <w:jc w:val="center"/>
            </w:pPr>
            <w:r w:rsidRPr="002C1DA3">
              <w:t>Average</w:t>
            </w:r>
          </w:p>
        </w:tc>
        <w:tc>
          <w:tcPr>
            <w:tcW w:w="705" w:type="pct"/>
            <w:vAlign w:val="bottom"/>
          </w:tcPr>
          <w:p w14:paraId="1A2A2FD0" w14:textId="77777777" w:rsidR="00C84CEF" w:rsidRPr="002C1DA3" w:rsidRDefault="00C84CEF" w:rsidP="00C84CEF">
            <w:pPr>
              <w:jc w:val="center"/>
            </w:pPr>
            <w:r w:rsidRPr="002C1DA3">
              <w:t>Below Average</w:t>
            </w:r>
          </w:p>
        </w:tc>
        <w:tc>
          <w:tcPr>
            <w:tcW w:w="575" w:type="pct"/>
            <w:vAlign w:val="bottom"/>
          </w:tcPr>
          <w:p w14:paraId="5F78F303" w14:textId="77777777" w:rsidR="00C84CEF" w:rsidRPr="002C1DA3" w:rsidRDefault="00C84CEF" w:rsidP="00C84CEF">
            <w:pPr>
              <w:jc w:val="center"/>
            </w:pPr>
            <w:r w:rsidRPr="002C1DA3">
              <w:t>Unsatisfactory</w:t>
            </w:r>
          </w:p>
        </w:tc>
        <w:tc>
          <w:tcPr>
            <w:tcW w:w="466" w:type="pct"/>
            <w:shd w:val="clear" w:color="auto" w:fill="92D050"/>
            <w:vAlign w:val="bottom"/>
          </w:tcPr>
          <w:p w14:paraId="3E0F99A0" w14:textId="35C6C75D" w:rsidR="00C84CEF" w:rsidRPr="002C1DA3" w:rsidRDefault="00670D2A" w:rsidP="00C84CEF">
            <w:pPr>
              <w:jc w:val="center"/>
            </w:pPr>
            <w:r>
              <w:t>Department Comments</w:t>
            </w:r>
          </w:p>
        </w:tc>
        <w:tc>
          <w:tcPr>
            <w:tcW w:w="477" w:type="pct"/>
            <w:shd w:val="clear" w:color="auto" w:fill="92D050"/>
          </w:tcPr>
          <w:p w14:paraId="7785594D" w14:textId="022D81FB" w:rsidR="00C84CEF" w:rsidRPr="002C1DA3" w:rsidRDefault="00670D2A" w:rsidP="00C84CEF">
            <w:pPr>
              <w:jc w:val="center"/>
            </w:pPr>
            <w:r>
              <w:t>Coach’s Comments</w:t>
            </w:r>
          </w:p>
        </w:tc>
      </w:tr>
      <w:tr w:rsidR="00C84CEF" w:rsidRPr="002C1DA3" w14:paraId="036358DE" w14:textId="77777777" w:rsidTr="00BD1581">
        <w:trPr>
          <w:jc w:val="center"/>
        </w:trPr>
        <w:tc>
          <w:tcPr>
            <w:tcW w:w="664" w:type="pct"/>
            <w:shd w:val="clear" w:color="auto" w:fill="B8CCE4"/>
            <w:vAlign w:val="bottom"/>
          </w:tcPr>
          <w:p w14:paraId="47DEDEBC" w14:textId="77777777" w:rsidR="00C84CEF" w:rsidRPr="002C1DA3" w:rsidRDefault="00C84CEF" w:rsidP="00C84CEF">
            <w:pPr>
              <w:jc w:val="center"/>
            </w:pPr>
            <w:r w:rsidRPr="002C1DA3">
              <w:t xml:space="preserve">Domain </w:t>
            </w:r>
          </w:p>
        </w:tc>
        <w:tc>
          <w:tcPr>
            <w:tcW w:w="705" w:type="pct"/>
            <w:shd w:val="clear" w:color="auto" w:fill="0D0D0D"/>
            <w:vAlign w:val="bottom"/>
          </w:tcPr>
          <w:p w14:paraId="4C13A5EB" w14:textId="77777777" w:rsidR="00C84CEF" w:rsidRPr="002C1DA3" w:rsidRDefault="00C84CEF" w:rsidP="00C84CEF">
            <w:pPr>
              <w:rPr>
                <w:sz w:val="20"/>
              </w:rPr>
            </w:pPr>
          </w:p>
        </w:tc>
        <w:tc>
          <w:tcPr>
            <w:tcW w:w="705" w:type="pct"/>
            <w:shd w:val="clear" w:color="auto" w:fill="0D0D0D"/>
            <w:vAlign w:val="bottom"/>
          </w:tcPr>
          <w:p w14:paraId="28D0F71F" w14:textId="77777777" w:rsidR="00C84CEF" w:rsidRPr="002C1DA3" w:rsidRDefault="00C84CEF" w:rsidP="00C84CEF">
            <w:pPr>
              <w:rPr>
                <w:sz w:val="20"/>
              </w:rPr>
            </w:pPr>
          </w:p>
        </w:tc>
        <w:tc>
          <w:tcPr>
            <w:tcW w:w="705" w:type="pct"/>
            <w:shd w:val="clear" w:color="auto" w:fill="0D0D0D"/>
            <w:vAlign w:val="bottom"/>
          </w:tcPr>
          <w:p w14:paraId="73A5366D" w14:textId="77777777" w:rsidR="00C84CEF" w:rsidRPr="002C1DA3" w:rsidRDefault="00C84CEF" w:rsidP="00C84CEF">
            <w:pPr>
              <w:rPr>
                <w:sz w:val="20"/>
              </w:rPr>
            </w:pPr>
          </w:p>
        </w:tc>
        <w:tc>
          <w:tcPr>
            <w:tcW w:w="705" w:type="pct"/>
            <w:shd w:val="clear" w:color="auto" w:fill="0D0D0D"/>
            <w:vAlign w:val="bottom"/>
          </w:tcPr>
          <w:p w14:paraId="2425EF75" w14:textId="77777777" w:rsidR="00C84CEF" w:rsidRPr="002C1DA3" w:rsidRDefault="00C84CEF" w:rsidP="00C84CEF">
            <w:pPr>
              <w:rPr>
                <w:sz w:val="20"/>
              </w:rPr>
            </w:pPr>
          </w:p>
        </w:tc>
        <w:tc>
          <w:tcPr>
            <w:tcW w:w="575" w:type="pct"/>
            <w:shd w:val="clear" w:color="auto" w:fill="0D0D0D"/>
            <w:vAlign w:val="bottom"/>
          </w:tcPr>
          <w:p w14:paraId="5E6018B8" w14:textId="77777777" w:rsidR="00C84CEF" w:rsidRPr="002C1DA3" w:rsidRDefault="00C84CEF" w:rsidP="00C84CEF">
            <w:pPr>
              <w:rPr>
                <w:sz w:val="20"/>
              </w:rPr>
            </w:pPr>
          </w:p>
        </w:tc>
        <w:tc>
          <w:tcPr>
            <w:tcW w:w="466" w:type="pct"/>
            <w:shd w:val="clear" w:color="auto" w:fill="0D0D0D"/>
          </w:tcPr>
          <w:p w14:paraId="27A1340B" w14:textId="77777777" w:rsidR="00C84CEF" w:rsidRPr="002C1DA3" w:rsidRDefault="00C84CEF" w:rsidP="00C84CEF">
            <w:pPr>
              <w:rPr>
                <w:sz w:val="20"/>
              </w:rPr>
            </w:pPr>
          </w:p>
        </w:tc>
        <w:tc>
          <w:tcPr>
            <w:tcW w:w="477" w:type="pct"/>
            <w:shd w:val="clear" w:color="auto" w:fill="0D0D0D"/>
          </w:tcPr>
          <w:p w14:paraId="6E5664BB" w14:textId="77777777" w:rsidR="00C84CEF" w:rsidRPr="002C1DA3" w:rsidRDefault="00C84CEF" w:rsidP="00C84CEF">
            <w:pPr>
              <w:rPr>
                <w:sz w:val="20"/>
              </w:rPr>
            </w:pPr>
          </w:p>
        </w:tc>
      </w:tr>
      <w:tr w:rsidR="00C84CEF" w:rsidRPr="002C1DA3" w14:paraId="5FC5FE71" w14:textId="77777777" w:rsidTr="00BD1581">
        <w:trPr>
          <w:jc w:val="center"/>
        </w:trPr>
        <w:tc>
          <w:tcPr>
            <w:tcW w:w="664" w:type="pct"/>
            <w:shd w:val="clear" w:color="auto" w:fill="B8CCE4"/>
          </w:tcPr>
          <w:p w14:paraId="604AD99D" w14:textId="77777777" w:rsidR="00C84CEF" w:rsidRDefault="00C84CEF" w:rsidP="00C84CEF">
            <w:pPr>
              <w:rPr>
                <w:sz w:val="20"/>
              </w:rPr>
            </w:pPr>
          </w:p>
          <w:p w14:paraId="328B575E" w14:textId="2E8DC5CD" w:rsidR="00C84CEF" w:rsidRDefault="004C7A47" w:rsidP="00C84CEF">
            <w:pPr>
              <w:rPr>
                <w:sz w:val="20"/>
              </w:rPr>
            </w:pPr>
            <w:r>
              <w:rPr>
                <w:sz w:val="20"/>
              </w:rPr>
              <w:t>Alignment and Authenticity</w:t>
            </w:r>
          </w:p>
          <w:p w14:paraId="26A38A3D" w14:textId="77777777" w:rsidR="00C84CEF" w:rsidRDefault="00C84CEF" w:rsidP="00C84CEF">
            <w:pPr>
              <w:rPr>
                <w:sz w:val="20"/>
              </w:rPr>
            </w:pPr>
          </w:p>
          <w:p w14:paraId="6AFB1EDF" w14:textId="77777777" w:rsidR="00C84CEF" w:rsidRDefault="00C84CEF" w:rsidP="00C84CEF">
            <w:pPr>
              <w:rPr>
                <w:sz w:val="20"/>
              </w:rPr>
            </w:pPr>
          </w:p>
          <w:p w14:paraId="4120CC24" w14:textId="77777777" w:rsidR="00C84CEF" w:rsidRPr="002C1DA3" w:rsidRDefault="00C84CEF" w:rsidP="00C84CEF">
            <w:pPr>
              <w:rPr>
                <w:sz w:val="20"/>
              </w:rPr>
            </w:pPr>
          </w:p>
        </w:tc>
        <w:tc>
          <w:tcPr>
            <w:tcW w:w="705" w:type="pct"/>
          </w:tcPr>
          <w:p w14:paraId="224445B7" w14:textId="68E7283B" w:rsidR="00C84CEF" w:rsidRPr="002C1DA3" w:rsidRDefault="00FC0466" w:rsidP="004C7A47">
            <w:pPr>
              <w:rPr>
                <w:sz w:val="20"/>
              </w:rPr>
            </w:pPr>
            <w:r>
              <w:rPr>
                <w:sz w:val="20"/>
              </w:rPr>
              <w:t xml:space="preserve">The course outcomes </w:t>
            </w:r>
            <w:r w:rsidR="000D4591">
              <w:rPr>
                <w:sz w:val="20"/>
              </w:rPr>
              <w:t xml:space="preserve">thoroughly and </w:t>
            </w:r>
            <w:r>
              <w:rPr>
                <w:sz w:val="20"/>
              </w:rPr>
              <w:t xml:space="preserve">accurately reflect </w:t>
            </w:r>
            <w:r w:rsidR="004C7A47">
              <w:rPr>
                <w:sz w:val="20"/>
              </w:rPr>
              <w:t>how the course is taught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705" w:type="pct"/>
          </w:tcPr>
          <w:p w14:paraId="30333FA5" w14:textId="6CA5091F" w:rsidR="00C84CEF" w:rsidRPr="002C1DA3" w:rsidRDefault="000D4591" w:rsidP="004C7A47">
            <w:pPr>
              <w:rPr>
                <w:sz w:val="20"/>
              </w:rPr>
            </w:pPr>
            <w:r>
              <w:rPr>
                <w:sz w:val="20"/>
              </w:rPr>
              <w:t xml:space="preserve">The course outcomes clearly reflect </w:t>
            </w:r>
            <w:r w:rsidR="004C7A47">
              <w:rPr>
                <w:sz w:val="20"/>
              </w:rPr>
              <w:t>how the course is taught, but there are one or two minor wording issues in the outcomes that could be clarified.</w:t>
            </w:r>
          </w:p>
        </w:tc>
        <w:tc>
          <w:tcPr>
            <w:tcW w:w="705" w:type="pct"/>
          </w:tcPr>
          <w:p w14:paraId="391D5F54" w14:textId="6EB727DD" w:rsidR="00C84CEF" w:rsidRPr="002C1DA3" w:rsidRDefault="004C7A47" w:rsidP="004C7A47">
            <w:pPr>
              <w:rPr>
                <w:sz w:val="20"/>
              </w:rPr>
            </w:pPr>
            <w:r>
              <w:rPr>
                <w:sz w:val="20"/>
              </w:rPr>
              <w:t>All but one of t</w:t>
            </w:r>
            <w:r w:rsidR="0099079E">
              <w:rPr>
                <w:sz w:val="20"/>
              </w:rPr>
              <w:t>he course outcomes alig</w:t>
            </w:r>
            <w:r>
              <w:rPr>
                <w:sz w:val="20"/>
              </w:rPr>
              <w:t>n with how the course is taught.</w:t>
            </w:r>
          </w:p>
        </w:tc>
        <w:tc>
          <w:tcPr>
            <w:tcW w:w="705" w:type="pct"/>
          </w:tcPr>
          <w:p w14:paraId="36DEF0CF" w14:textId="3464A6A7" w:rsidR="00C84CEF" w:rsidRPr="002C1DA3" w:rsidRDefault="00924D94" w:rsidP="004F6402">
            <w:pPr>
              <w:rPr>
                <w:sz w:val="20"/>
              </w:rPr>
            </w:pPr>
            <w:r>
              <w:rPr>
                <w:sz w:val="20"/>
              </w:rPr>
              <w:t>More than one</w:t>
            </w:r>
            <w:r w:rsidR="0081477D">
              <w:rPr>
                <w:sz w:val="20"/>
              </w:rPr>
              <w:t xml:space="preserve"> of the course outcomes </w:t>
            </w:r>
            <w:r w:rsidR="00B02BA7">
              <w:rPr>
                <w:sz w:val="20"/>
              </w:rPr>
              <w:t xml:space="preserve">do not </w:t>
            </w:r>
            <w:r w:rsidR="0081477D">
              <w:rPr>
                <w:sz w:val="20"/>
              </w:rPr>
              <w:t xml:space="preserve">reflect how the course is taught.  </w:t>
            </w:r>
          </w:p>
        </w:tc>
        <w:tc>
          <w:tcPr>
            <w:tcW w:w="575" w:type="pct"/>
          </w:tcPr>
          <w:p w14:paraId="21C90021" w14:textId="609D7B15" w:rsidR="00C84CEF" w:rsidRPr="002C1DA3" w:rsidRDefault="00924D94" w:rsidP="004C7A47">
            <w:pPr>
              <w:rPr>
                <w:sz w:val="20"/>
              </w:rPr>
            </w:pPr>
            <w:r>
              <w:rPr>
                <w:sz w:val="20"/>
              </w:rPr>
              <w:t>All of t</w:t>
            </w:r>
            <w:r w:rsidR="001E729E">
              <w:rPr>
                <w:sz w:val="20"/>
              </w:rPr>
              <w:t xml:space="preserve">he course outcomes </w:t>
            </w:r>
            <w:r w:rsidR="00ED4159">
              <w:rPr>
                <w:sz w:val="20"/>
              </w:rPr>
              <w:t>do not reflect the ways that the course is taught</w:t>
            </w:r>
            <w:r w:rsidR="004C7A47">
              <w:rPr>
                <w:sz w:val="20"/>
              </w:rPr>
              <w:t>.</w:t>
            </w:r>
          </w:p>
        </w:tc>
        <w:tc>
          <w:tcPr>
            <w:tcW w:w="466" w:type="pct"/>
            <w:shd w:val="clear" w:color="auto" w:fill="92D050"/>
          </w:tcPr>
          <w:p w14:paraId="3716BE0B" w14:textId="77777777" w:rsidR="00C84CEF" w:rsidRPr="002C1DA3" w:rsidRDefault="00C84CEF" w:rsidP="00C84CEF">
            <w:pPr>
              <w:rPr>
                <w:sz w:val="20"/>
              </w:rPr>
            </w:pPr>
          </w:p>
        </w:tc>
        <w:tc>
          <w:tcPr>
            <w:tcW w:w="477" w:type="pct"/>
            <w:shd w:val="clear" w:color="auto" w:fill="92D050"/>
          </w:tcPr>
          <w:p w14:paraId="7E856D7B" w14:textId="77777777" w:rsidR="00C84CEF" w:rsidRPr="002C1DA3" w:rsidRDefault="00C84CEF" w:rsidP="00C84CEF">
            <w:pPr>
              <w:rPr>
                <w:sz w:val="20"/>
              </w:rPr>
            </w:pPr>
          </w:p>
        </w:tc>
      </w:tr>
      <w:tr w:rsidR="00C84CEF" w:rsidRPr="002C1DA3" w14:paraId="2869646C" w14:textId="77777777" w:rsidTr="00BD1581">
        <w:trPr>
          <w:jc w:val="center"/>
        </w:trPr>
        <w:tc>
          <w:tcPr>
            <w:tcW w:w="664" w:type="pct"/>
            <w:shd w:val="clear" w:color="auto" w:fill="B8CCE4"/>
          </w:tcPr>
          <w:p w14:paraId="3EDC539D" w14:textId="77777777" w:rsidR="00C84CEF" w:rsidRDefault="00C84CEF" w:rsidP="00C84CEF">
            <w:pPr>
              <w:rPr>
                <w:sz w:val="20"/>
              </w:rPr>
            </w:pPr>
          </w:p>
          <w:p w14:paraId="0C133A0F" w14:textId="4732C3B3" w:rsidR="00C84CEF" w:rsidRDefault="00670D2A" w:rsidP="00C84CEF">
            <w:pPr>
              <w:rPr>
                <w:sz w:val="20"/>
              </w:rPr>
            </w:pPr>
            <w:r>
              <w:rPr>
                <w:sz w:val="20"/>
              </w:rPr>
              <w:t>Assessment Instrument</w:t>
            </w:r>
            <w:r w:rsidR="00691C82">
              <w:rPr>
                <w:sz w:val="20"/>
              </w:rPr>
              <w:t>(s)</w:t>
            </w:r>
            <w:r w:rsidR="00A40BFF">
              <w:rPr>
                <w:sz w:val="20"/>
              </w:rPr>
              <w:t>: Validity</w:t>
            </w:r>
          </w:p>
          <w:p w14:paraId="58A6F99C" w14:textId="77777777" w:rsidR="00C84CEF" w:rsidRDefault="00C84CEF" w:rsidP="00C84CEF">
            <w:pPr>
              <w:rPr>
                <w:sz w:val="20"/>
              </w:rPr>
            </w:pPr>
          </w:p>
          <w:p w14:paraId="7157D503" w14:textId="77777777" w:rsidR="00C84CEF" w:rsidRPr="002C1DA3" w:rsidRDefault="00C84CEF" w:rsidP="00C84CEF">
            <w:pPr>
              <w:rPr>
                <w:sz w:val="20"/>
              </w:rPr>
            </w:pPr>
          </w:p>
        </w:tc>
        <w:tc>
          <w:tcPr>
            <w:tcW w:w="705" w:type="pct"/>
          </w:tcPr>
          <w:p w14:paraId="76D392CC" w14:textId="7D2C7EBC" w:rsidR="0082105D" w:rsidRDefault="0082105D" w:rsidP="00691C82">
            <w:pPr>
              <w:rPr>
                <w:sz w:val="20"/>
              </w:rPr>
            </w:pPr>
            <w:r>
              <w:rPr>
                <w:sz w:val="20"/>
              </w:rPr>
              <w:t>The MC and/or rubric based assessment is valid.</w:t>
            </w:r>
          </w:p>
          <w:p w14:paraId="080F6EC4" w14:textId="77777777" w:rsidR="006F0879" w:rsidRDefault="006F0879" w:rsidP="00691C82">
            <w:pPr>
              <w:rPr>
                <w:sz w:val="20"/>
              </w:rPr>
            </w:pPr>
          </w:p>
          <w:p w14:paraId="3A7D7435" w14:textId="1D35D42E" w:rsidR="0082105D" w:rsidRDefault="006F0879" w:rsidP="00691C82">
            <w:pPr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 w:rsidR="0082105D">
              <w:rPr>
                <w:sz w:val="20"/>
              </w:rPr>
              <w:t xml:space="preserve">MC </w:t>
            </w:r>
            <w:r>
              <w:rPr>
                <w:sz w:val="20"/>
              </w:rPr>
              <w:t>Assessment is valid for the course</w:t>
            </w:r>
            <w:r w:rsidR="0082105D">
              <w:rPr>
                <w:sz w:val="20"/>
              </w:rPr>
              <w:t xml:space="preserve">: the connections between the assessment </w:t>
            </w:r>
            <w:r w:rsidR="0082105D">
              <w:rPr>
                <w:sz w:val="20"/>
              </w:rPr>
              <w:lastRenderedPageBreak/>
              <w:t>instrument and the course outcomes and MOs are logical and natural for 100-90% of the questions</w:t>
            </w:r>
            <w:r w:rsidR="00930B14">
              <w:rPr>
                <w:sz w:val="20"/>
              </w:rPr>
              <w:t>.</w:t>
            </w:r>
          </w:p>
          <w:p w14:paraId="2DB39DE3" w14:textId="77777777" w:rsidR="0082105D" w:rsidRDefault="0082105D" w:rsidP="00691C82">
            <w:pPr>
              <w:rPr>
                <w:sz w:val="20"/>
              </w:rPr>
            </w:pPr>
          </w:p>
          <w:p w14:paraId="5193B618" w14:textId="3B7AA6F7" w:rsidR="00C84CEF" w:rsidRPr="002C1DA3" w:rsidRDefault="004C4A2E" w:rsidP="006F0879">
            <w:pPr>
              <w:rPr>
                <w:sz w:val="20"/>
              </w:rPr>
            </w:pPr>
            <w:r>
              <w:rPr>
                <w:sz w:val="20"/>
              </w:rPr>
              <w:t>The</w:t>
            </w:r>
            <w:r w:rsidR="006F0879">
              <w:rPr>
                <w:sz w:val="20"/>
              </w:rPr>
              <w:t xml:space="preserve"> </w:t>
            </w:r>
            <w:r w:rsidR="00691C82">
              <w:rPr>
                <w:sz w:val="20"/>
              </w:rPr>
              <w:t>rubric-based assessment</w:t>
            </w:r>
            <w:r w:rsidR="002D53B6">
              <w:rPr>
                <w:sz w:val="20"/>
              </w:rPr>
              <w:t xml:space="preserve"> tool is valid for the </w:t>
            </w:r>
            <w:r w:rsidR="00C321E1">
              <w:rPr>
                <w:sz w:val="20"/>
              </w:rPr>
              <w:t>course</w:t>
            </w:r>
            <w:r w:rsidR="00691C82">
              <w:rPr>
                <w:sz w:val="20"/>
              </w:rPr>
              <w:t>: t</w:t>
            </w:r>
            <w:r w:rsidR="00242C32">
              <w:rPr>
                <w:sz w:val="20"/>
              </w:rPr>
              <w:t xml:space="preserve">he connections between the assessment instrument and the course outcomes and MOs are logical and natural. </w:t>
            </w:r>
          </w:p>
        </w:tc>
        <w:tc>
          <w:tcPr>
            <w:tcW w:w="705" w:type="pct"/>
          </w:tcPr>
          <w:p w14:paraId="08675383" w14:textId="77777777" w:rsidR="00930B14" w:rsidRDefault="00930B14" w:rsidP="00930B1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The MC and/or rubric based assessment is valid.</w:t>
            </w:r>
          </w:p>
          <w:p w14:paraId="7EFB716C" w14:textId="77777777" w:rsidR="00930B14" w:rsidRDefault="00930B14" w:rsidP="00930B14">
            <w:pPr>
              <w:rPr>
                <w:sz w:val="20"/>
              </w:rPr>
            </w:pPr>
          </w:p>
          <w:p w14:paraId="24B4B799" w14:textId="5C879CE7" w:rsidR="00930B14" w:rsidRDefault="00930B14" w:rsidP="00930B14">
            <w:pPr>
              <w:rPr>
                <w:sz w:val="20"/>
              </w:rPr>
            </w:pPr>
            <w:r>
              <w:rPr>
                <w:sz w:val="20"/>
              </w:rPr>
              <w:t xml:space="preserve">The MC Assessment is valid for the course: the connections between the assessment </w:t>
            </w:r>
            <w:r>
              <w:rPr>
                <w:sz w:val="20"/>
              </w:rPr>
              <w:lastRenderedPageBreak/>
              <w:t>instrument and the course outcomes and MOs are logical and natural for 89-80%% of the questions.</w:t>
            </w:r>
          </w:p>
          <w:p w14:paraId="072C31F1" w14:textId="40C37037" w:rsidR="00930B14" w:rsidRDefault="00930B14" w:rsidP="00B02BA7">
            <w:pPr>
              <w:rPr>
                <w:sz w:val="20"/>
              </w:rPr>
            </w:pPr>
          </w:p>
          <w:p w14:paraId="2ABDA70A" w14:textId="05FDC411" w:rsidR="00C0794B" w:rsidRPr="002C1DA3" w:rsidRDefault="00930B14" w:rsidP="00B02BA7">
            <w:pPr>
              <w:rPr>
                <w:sz w:val="20"/>
              </w:rPr>
            </w:pPr>
            <w:r>
              <w:rPr>
                <w:sz w:val="20"/>
              </w:rPr>
              <w:t>The rubric-based assessment tool is valid for the course: t</w:t>
            </w:r>
            <w:r w:rsidR="00C0794B">
              <w:rPr>
                <w:sz w:val="20"/>
              </w:rPr>
              <w:t xml:space="preserve">he connections between the assessment instrument and the course outcomes and MOs are logical and </w:t>
            </w:r>
            <w:r w:rsidR="00B02BA7">
              <w:rPr>
                <w:sz w:val="20"/>
              </w:rPr>
              <w:t>natural</w:t>
            </w:r>
            <w:r w:rsidR="006D0AF5">
              <w:rPr>
                <w:sz w:val="20"/>
              </w:rPr>
              <w:t>, with the exception of one connection.</w:t>
            </w:r>
          </w:p>
        </w:tc>
        <w:tc>
          <w:tcPr>
            <w:tcW w:w="705" w:type="pct"/>
          </w:tcPr>
          <w:p w14:paraId="6E81C6BF" w14:textId="77777777" w:rsidR="00930B14" w:rsidRDefault="00930B14" w:rsidP="00930B1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The MC and/or rubric based assessment is valid.</w:t>
            </w:r>
          </w:p>
          <w:p w14:paraId="03B27325" w14:textId="77777777" w:rsidR="00930B14" w:rsidRDefault="00930B14" w:rsidP="00930B14">
            <w:pPr>
              <w:rPr>
                <w:sz w:val="20"/>
              </w:rPr>
            </w:pPr>
          </w:p>
          <w:p w14:paraId="79DA680D" w14:textId="6592BB27" w:rsidR="00930B14" w:rsidRDefault="00930B14" w:rsidP="00930B14">
            <w:pPr>
              <w:rPr>
                <w:sz w:val="20"/>
              </w:rPr>
            </w:pPr>
            <w:r>
              <w:rPr>
                <w:sz w:val="20"/>
              </w:rPr>
              <w:t xml:space="preserve">The MC Assessment is valid for the course: the connections between the assessment </w:t>
            </w:r>
            <w:r>
              <w:rPr>
                <w:sz w:val="20"/>
              </w:rPr>
              <w:lastRenderedPageBreak/>
              <w:t>instrument and the course outcomes and MOs are logical and natural for 79-70% of the questions.</w:t>
            </w:r>
          </w:p>
          <w:p w14:paraId="3474A493" w14:textId="77777777" w:rsidR="00930B14" w:rsidRDefault="00930B14" w:rsidP="00930B14">
            <w:pPr>
              <w:rPr>
                <w:sz w:val="20"/>
              </w:rPr>
            </w:pPr>
          </w:p>
          <w:p w14:paraId="48BDE8D3" w14:textId="04DCFEA4" w:rsidR="00C84CEF" w:rsidRPr="002C1DA3" w:rsidRDefault="00930B14" w:rsidP="00B02BA7">
            <w:pPr>
              <w:rPr>
                <w:sz w:val="20"/>
              </w:rPr>
            </w:pPr>
            <w:r>
              <w:rPr>
                <w:sz w:val="20"/>
              </w:rPr>
              <w:t xml:space="preserve">The rubric-based assessment tool is valid for the course: </w:t>
            </w:r>
            <w:r w:rsidR="0050248E">
              <w:rPr>
                <w:sz w:val="20"/>
              </w:rPr>
              <w:t>t</w:t>
            </w:r>
            <w:r w:rsidR="00C0794B">
              <w:rPr>
                <w:sz w:val="20"/>
              </w:rPr>
              <w:t xml:space="preserve">he connections between the assessment instrument and the course outcomes and MOs are </w:t>
            </w:r>
            <w:r w:rsidR="00B02BA7">
              <w:rPr>
                <w:sz w:val="20"/>
              </w:rPr>
              <w:t>logical and natural</w:t>
            </w:r>
            <w:r w:rsidR="006D0AF5">
              <w:rPr>
                <w:sz w:val="20"/>
              </w:rPr>
              <w:t>, with the exception of two or three connections.</w:t>
            </w:r>
          </w:p>
        </w:tc>
        <w:tc>
          <w:tcPr>
            <w:tcW w:w="705" w:type="pct"/>
          </w:tcPr>
          <w:p w14:paraId="1724EFC6" w14:textId="05470EDF" w:rsidR="00930B14" w:rsidRDefault="00930B14" w:rsidP="00930B1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The MC and/or rubric based assessment is invalid.</w:t>
            </w:r>
          </w:p>
          <w:p w14:paraId="7F0F33E7" w14:textId="77777777" w:rsidR="00930B14" w:rsidRDefault="00930B14" w:rsidP="00930B14">
            <w:pPr>
              <w:rPr>
                <w:sz w:val="20"/>
              </w:rPr>
            </w:pPr>
          </w:p>
          <w:p w14:paraId="519E6EDA" w14:textId="18932A20" w:rsidR="00930B14" w:rsidRDefault="00930B14" w:rsidP="00930B14">
            <w:pPr>
              <w:rPr>
                <w:sz w:val="20"/>
              </w:rPr>
            </w:pPr>
            <w:r>
              <w:rPr>
                <w:sz w:val="20"/>
              </w:rPr>
              <w:t xml:space="preserve">The MC Assessment is valid for the course: the connections between </w:t>
            </w:r>
            <w:r>
              <w:rPr>
                <w:sz w:val="20"/>
              </w:rPr>
              <w:lastRenderedPageBreak/>
              <w:t>the assessment instrument and the course outcomes and MOs are logical and natural for 69-60% of the questions.</w:t>
            </w:r>
          </w:p>
          <w:p w14:paraId="4922A846" w14:textId="77777777" w:rsidR="00930B14" w:rsidRDefault="00930B14" w:rsidP="00930B14">
            <w:pPr>
              <w:rPr>
                <w:sz w:val="20"/>
              </w:rPr>
            </w:pPr>
          </w:p>
          <w:p w14:paraId="3899B75A" w14:textId="7A752C08" w:rsidR="00C84CEF" w:rsidRPr="002C1DA3" w:rsidRDefault="00B02BA7" w:rsidP="00930B14">
            <w:pPr>
              <w:rPr>
                <w:sz w:val="20"/>
              </w:rPr>
            </w:pPr>
            <w:r>
              <w:rPr>
                <w:sz w:val="20"/>
              </w:rPr>
              <w:t xml:space="preserve">There are more than 3 connections between the </w:t>
            </w:r>
            <w:r w:rsidR="00930B14">
              <w:rPr>
                <w:sz w:val="20"/>
              </w:rPr>
              <w:t xml:space="preserve">rubric </w:t>
            </w:r>
            <w:r>
              <w:rPr>
                <w:sz w:val="20"/>
              </w:rPr>
              <w:t>assessment instrument and the course outcomes and MOs that are not logical and natural.</w:t>
            </w:r>
          </w:p>
        </w:tc>
        <w:tc>
          <w:tcPr>
            <w:tcW w:w="575" w:type="pct"/>
          </w:tcPr>
          <w:p w14:paraId="5E8E7B6D" w14:textId="00B7D9D3" w:rsidR="00930B14" w:rsidRDefault="00930B14" w:rsidP="00930B1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The MC and/or rubric based assessment is invalid.</w:t>
            </w:r>
          </w:p>
          <w:p w14:paraId="1B21F4C5" w14:textId="77777777" w:rsidR="00930B14" w:rsidRDefault="00930B14" w:rsidP="00930B14">
            <w:pPr>
              <w:rPr>
                <w:sz w:val="20"/>
              </w:rPr>
            </w:pPr>
          </w:p>
          <w:p w14:paraId="4D67861C" w14:textId="1C50F441" w:rsidR="00930B14" w:rsidRDefault="00930B14" w:rsidP="00930B14">
            <w:pPr>
              <w:rPr>
                <w:sz w:val="20"/>
              </w:rPr>
            </w:pPr>
            <w:r>
              <w:rPr>
                <w:sz w:val="20"/>
              </w:rPr>
              <w:t xml:space="preserve">The MC Assessment is valid for the course: the </w:t>
            </w:r>
            <w:r>
              <w:rPr>
                <w:sz w:val="20"/>
              </w:rPr>
              <w:lastRenderedPageBreak/>
              <w:t>connections between the assessment instrument and the course outcomes and MOs are logical and natural for less than 60% of the questions.</w:t>
            </w:r>
          </w:p>
          <w:p w14:paraId="53ED306C" w14:textId="77777777" w:rsidR="00930B14" w:rsidRDefault="00930B14" w:rsidP="00930B14">
            <w:pPr>
              <w:rPr>
                <w:sz w:val="20"/>
              </w:rPr>
            </w:pPr>
          </w:p>
          <w:p w14:paraId="7C1BC338" w14:textId="7C2729DC" w:rsidR="00C84CEF" w:rsidRPr="002C1DA3" w:rsidRDefault="00315681" w:rsidP="00A3000A">
            <w:pPr>
              <w:rPr>
                <w:sz w:val="20"/>
              </w:rPr>
            </w:pPr>
            <w:r>
              <w:rPr>
                <w:sz w:val="20"/>
              </w:rPr>
              <w:t xml:space="preserve">The connections between the </w:t>
            </w:r>
            <w:r w:rsidR="00930B14">
              <w:rPr>
                <w:sz w:val="20"/>
              </w:rPr>
              <w:t xml:space="preserve">rubric </w:t>
            </w:r>
            <w:r>
              <w:rPr>
                <w:sz w:val="20"/>
              </w:rPr>
              <w:t xml:space="preserve">assessment instrument and the course outcomes and MOs are </w:t>
            </w:r>
            <w:r w:rsidR="00A3000A">
              <w:rPr>
                <w:sz w:val="20"/>
              </w:rPr>
              <w:t xml:space="preserve">not </w:t>
            </w:r>
            <w:r>
              <w:rPr>
                <w:sz w:val="20"/>
              </w:rPr>
              <w:t>logical and natural.</w:t>
            </w:r>
          </w:p>
        </w:tc>
        <w:tc>
          <w:tcPr>
            <w:tcW w:w="466" w:type="pct"/>
            <w:shd w:val="clear" w:color="auto" w:fill="92D050"/>
          </w:tcPr>
          <w:p w14:paraId="501D3F24" w14:textId="77777777" w:rsidR="00C84CEF" w:rsidRPr="002C1DA3" w:rsidRDefault="00C84CEF" w:rsidP="00C84CEF">
            <w:pPr>
              <w:rPr>
                <w:sz w:val="20"/>
              </w:rPr>
            </w:pPr>
          </w:p>
        </w:tc>
        <w:tc>
          <w:tcPr>
            <w:tcW w:w="477" w:type="pct"/>
            <w:shd w:val="clear" w:color="auto" w:fill="92D050"/>
          </w:tcPr>
          <w:p w14:paraId="0D0C3567" w14:textId="77777777" w:rsidR="00C84CEF" w:rsidRPr="002C1DA3" w:rsidRDefault="00C84CEF" w:rsidP="00C84CEF">
            <w:pPr>
              <w:rPr>
                <w:sz w:val="20"/>
              </w:rPr>
            </w:pPr>
          </w:p>
        </w:tc>
      </w:tr>
      <w:tr w:rsidR="00A40BFF" w:rsidRPr="002C1DA3" w14:paraId="3191938F" w14:textId="77777777" w:rsidTr="00BD1581">
        <w:trPr>
          <w:trHeight w:val="683"/>
          <w:jc w:val="center"/>
        </w:trPr>
        <w:tc>
          <w:tcPr>
            <w:tcW w:w="664" w:type="pct"/>
            <w:shd w:val="clear" w:color="auto" w:fill="B8CCE4"/>
          </w:tcPr>
          <w:p w14:paraId="7AEC2D8B" w14:textId="77777777" w:rsidR="00C525CD" w:rsidRDefault="00C525CD" w:rsidP="00C84CEF">
            <w:pPr>
              <w:rPr>
                <w:sz w:val="20"/>
              </w:rPr>
            </w:pPr>
          </w:p>
          <w:p w14:paraId="3674F334" w14:textId="018A95C7" w:rsidR="00A40BFF" w:rsidRDefault="00A40BFF" w:rsidP="00C84CEF">
            <w:pPr>
              <w:rPr>
                <w:sz w:val="20"/>
              </w:rPr>
            </w:pPr>
            <w:r>
              <w:rPr>
                <w:sz w:val="20"/>
              </w:rPr>
              <w:t>Assessment Instrument</w:t>
            </w:r>
            <w:r w:rsidR="00691C82">
              <w:rPr>
                <w:sz w:val="20"/>
              </w:rPr>
              <w:t>(s)</w:t>
            </w:r>
            <w:r>
              <w:rPr>
                <w:sz w:val="20"/>
              </w:rPr>
              <w:t>: Reliability</w:t>
            </w:r>
          </w:p>
        </w:tc>
        <w:tc>
          <w:tcPr>
            <w:tcW w:w="705" w:type="pct"/>
          </w:tcPr>
          <w:p w14:paraId="2F02A3E8" w14:textId="5B653DEC" w:rsidR="00A40BFF" w:rsidRDefault="002B10C0" w:rsidP="00A40BFF">
            <w:pPr>
              <w:rPr>
                <w:sz w:val="20"/>
              </w:rPr>
            </w:pPr>
            <w:r>
              <w:rPr>
                <w:sz w:val="20"/>
              </w:rPr>
              <w:t xml:space="preserve">The MC </w:t>
            </w:r>
            <w:r w:rsidR="0082105D">
              <w:rPr>
                <w:sz w:val="20"/>
              </w:rPr>
              <w:t>and/</w:t>
            </w:r>
            <w:r>
              <w:rPr>
                <w:sz w:val="20"/>
              </w:rPr>
              <w:t>or rubric-based assessment tool is reliable</w:t>
            </w:r>
            <w:r w:rsidR="00A954E2">
              <w:rPr>
                <w:sz w:val="20"/>
              </w:rPr>
              <w:t xml:space="preserve">. </w:t>
            </w:r>
          </w:p>
          <w:p w14:paraId="023E3A57" w14:textId="77777777" w:rsidR="00A954E2" w:rsidRDefault="00A954E2" w:rsidP="00A40BFF">
            <w:pPr>
              <w:rPr>
                <w:sz w:val="20"/>
              </w:rPr>
            </w:pPr>
          </w:p>
          <w:p w14:paraId="1F8EC851" w14:textId="54579A1E" w:rsidR="00A954E2" w:rsidRDefault="00972C84" w:rsidP="00370C84">
            <w:pPr>
              <w:rPr>
                <w:sz w:val="20"/>
              </w:rPr>
            </w:pPr>
            <w:r>
              <w:rPr>
                <w:sz w:val="20"/>
              </w:rPr>
              <w:t xml:space="preserve">For MC Assessments: </w:t>
            </w:r>
            <w:r w:rsidR="00A954E2">
              <w:rPr>
                <w:sz w:val="20"/>
              </w:rPr>
              <w:t xml:space="preserve">The MC </w:t>
            </w:r>
            <w:r w:rsidR="00370C84">
              <w:rPr>
                <w:sz w:val="20"/>
              </w:rPr>
              <w:t>questions are thorough, directly linking to the outcomes. Each outcome is tied to 7-8 questions.</w:t>
            </w:r>
          </w:p>
          <w:p w14:paraId="43A78C3D" w14:textId="77777777" w:rsidR="00972C84" w:rsidRDefault="00972C84" w:rsidP="00370C84">
            <w:pPr>
              <w:rPr>
                <w:sz w:val="20"/>
              </w:rPr>
            </w:pPr>
          </w:p>
          <w:p w14:paraId="3FA2DD0B" w14:textId="635A703B" w:rsidR="00972C84" w:rsidRDefault="00972C84" w:rsidP="00972C84">
            <w:pPr>
              <w:rPr>
                <w:sz w:val="20"/>
              </w:rPr>
            </w:pPr>
            <w:r>
              <w:rPr>
                <w:sz w:val="20"/>
              </w:rPr>
              <w:t xml:space="preserve">For Rubrics: The rubric domains </w:t>
            </w:r>
            <w:r>
              <w:rPr>
                <w:sz w:val="20"/>
              </w:rPr>
              <w:lastRenderedPageBreak/>
              <w:t xml:space="preserve">thoroughly cover all of the outcomes, using clear and distinct performance levels and cogent language. </w:t>
            </w:r>
          </w:p>
        </w:tc>
        <w:tc>
          <w:tcPr>
            <w:tcW w:w="705" w:type="pct"/>
          </w:tcPr>
          <w:p w14:paraId="078279FE" w14:textId="56057C25" w:rsidR="00A40BFF" w:rsidRDefault="002B10C0" w:rsidP="00C84C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The MC </w:t>
            </w:r>
            <w:r w:rsidR="0082105D">
              <w:rPr>
                <w:sz w:val="20"/>
              </w:rPr>
              <w:t>and/</w:t>
            </w:r>
            <w:r>
              <w:rPr>
                <w:sz w:val="20"/>
              </w:rPr>
              <w:t>or rubric-based assessment tool is reliable</w:t>
            </w:r>
            <w:r w:rsidR="00370C84">
              <w:rPr>
                <w:sz w:val="20"/>
              </w:rPr>
              <w:t>.</w:t>
            </w:r>
          </w:p>
          <w:p w14:paraId="629CF274" w14:textId="438D2F78" w:rsidR="00370C84" w:rsidRDefault="00972C84" w:rsidP="00370C84">
            <w:pPr>
              <w:rPr>
                <w:sz w:val="20"/>
              </w:rPr>
            </w:pPr>
            <w:r>
              <w:rPr>
                <w:sz w:val="20"/>
              </w:rPr>
              <w:t xml:space="preserve">For MC Assessments: </w:t>
            </w:r>
            <w:r w:rsidR="00370C84">
              <w:rPr>
                <w:sz w:val="20"/>
              </w:rPr>
              <w:t>The MC questions are effective, directly linking to the outcomes. Each outcome is tied to 5-6 questions.</w:t>
            </w:r>
          </w:p>
          <w:p w14:paraId="3A0E25E8" w14:textId="77777777" w:rsidR="00972C84" w:rsidRDefault="00972C84" w:rsidP="00370C84">
            <w:pPr>
              <w:rPr>
                <w:sz w:val="20"/>
              </w:rPr>
            </w:pPr>
          </w:p>
          <w:p w14:paraId="6606CFF4" w14:textId="281EC911" w:rsidR="00972C84" w:rsidRDefault="00972C84" w:rsidP="00972C84">
            <w:pPr>
              <w:rPr>
                <w:sz w:val="20"/>
              </w:rPr>
            </w:pPr>
            <w:r>
              <w:rPr>
                <w:sz w:val="20"/>
              </w:rPr>
              <w:t xml:space="preserve">For Rubrics: The rubric domains effectively cover the </w:t>
            </w:r>
            <w:r>
              <w:rPr>
                <w:sz w:val="20"/>
              </w:rPr>
              <w:lastRenderedPageBreak/>
              <w:t>outcomes, using clear and distinct performance levels, despite one or two vague terms.</w:t>
            </w:r>
          </w:p>
        </w:tc>
        <w:tc>
          <w:tcPr>
            <w:tcW w:w="705" w:type="pct"/>
          </w:tcPr>
          <w:p w14:paraId="2E656294" w14:textId="2B78897C" w:rsidR="00A40BFF" w:rsidRDefault="002B10C0" w:rsidP="00C0794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The MC </w:t>
            </w:r>
            <w:r w:rsidR="0082105D">
              <w:rPr>
                <w:sz w:val="20"/>
              </w:rPr>
              <w:t>and/</w:t>
            </w:r>
            <w:r>
              <w:rPr>
                <w:sz w:val="20"/>
              </w:rPr>
              <w:t>or rubric-based assessment tool is reliable</w:t>
            </w:r>
            <w:r w:rsidR="00370C84">
              <w:rPr>
                <w:sz w:val="20"/>
              </w:rPr>
              <w:t>.</w:t>
            </w:r>
          </w:p>
          <w:p w14:paraId="0D9F5736" w14:textId="77777777" w:rsidR="00370C84" w:rsidRDefault="00370C84" w:rsidP="00C0794B">
            <w:pPr>
              <w:rPr>
                <w:sz w:val="20"/>
              </w:rPr>
            </w:pPr>
          </w:p>
          <w:p w14:paraId="4014603A" w14:textId="77777777" w:rsidR="00370C84" w:rsidRDefault="00972C84" w:rsidP="00370C84">
            <w:pPr>
              <w:rPr>
                <w:sz w:val="20"/>
              </w:rPr>
            </w:pPr>
            <w:r>
              <w:rPr>
                <w:sz w:val="20"/>
              </w:rPr>
              <w:t xml:space="preserve">For MC Assessments: </w:t>
            </w:r>
            <w:r w:rsidR="00370C84">
              <w:rPr>
                <w:sz w:val="20"/>
              </w:rPr>
              <w:t>The MC questions are clear, aligning to the outcomes, despite 1 or 2 unclear questions. However, each outcome is tied to 3 questions.</w:t>
            </w:r>
          </w:p>
          <w:p w14:paraId="68BC5CBF" w14:textId="77777777" w:rsidR="00972C84" w:rsidRDefault="00972C84" w:rsidP="00370C84">
            <w:pPr>
              <w:rPr>
                <w:sz w:val="20"/>
              </w:rPr>
            </w:pPr>
          </w:p>
          <w:p w14:paraId="55D1EBCE" w14:textId="019A223D" w:rsidR="00972C84" w:rsidRDefault="00972C84" w:rsidP="00370C8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For Rubrics: The rubric domains primarily cover the outcomes, though one domain could be more directly tied to the outcomes. The performance levels</w:t>
            </w:r>
            <w:r w:rsidR="00072BD6">
              <w:rPr>
                <w:sz w:val="20"/>
              </w:rPr>
              <w:t>, aside from two descriptors, are distinct. The language is clear, despite 3-4 vague terms.</w:t>
            </w:r>
          </w:p>
          <w:p w14:paraId="2E649F21" w14:textId="301523D4" w:rsidR="00972C84" w:rsidRDefault="00972C84" w:rsidP="00370C84">
            <w:pPr>
              <w:rPr>
                <w:sz w:val="20"/>
              </w:rPr>
            </w:pPr>
          </w:p>
        </w:tc>
        <w:tc>
          <w:tcPr>
            <w:tcW w:w="705" w:type="pct"/>
          </w:tcPr>
          <w:p w14:paraId="70119BB2" w14:textId="4A3F1F0E" w:rsidR="00A40BFF" w:rsidRDefault="002B10C0" w:rsidP="006975A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The MC </w:t>
            </w:r>
            <w:r w:rsidR="0082105D">
              <w:rPr>
                <w:sz w:val="20"/>
              </w:rPr>
              <w:t>and/</w:t>
            </w:r>
            <w:r>
              <w:rPr>
                <w:sz w:val="20"/>
              </w:rPr>
              <w:t xml:space="preserve">or rubric-based assessment tool is </w:t>
            </w:r>
            <w:r w:rsidR="00370C84">
              <w:rPr>
                <w:sz w:val="20"/>
              </w:rPr>
              <w:t xml:space="preserve">partially </w:t>
            </w:r>
            <w:r>
              <w:rPr>
                <w:sz w:val="20"/>
              </w:rPr>
              <w:t>reliable</w:t>
            </w:r>
            <w:r w:rsidR="00370C84">
              <w:rPr>
                <w:sz w:val="20"/>
              </w:rPr>
              <w:t xml:space="preserve">. </w:t>
            </w:r>
          </w:p>
          <w:p w14:paraId="2C29F12C" w14:textId="77777777" w:rsidR="00370C84" w:rsidRDefault="00972C84" w:rsidP="006975A1">
            <w:pPr>
              <w:rPr>
                <w:sz w:val="20"/>
              </w:rPr>
            </w:pPr>
            <w:r>
              <w:rPr>
                <w:sz w:val="20"/>
              </w:rPr>
              <w:t xml:space="preserve">For MC Assessments: </w:t>
            </w:r>
            <w:r w:rsidR="00370C84">
              <w:rPr>
                <w:sz w:val="20"/>
              </w:rPr>
              <w:t>The MC questions are</w:t>
            </w:r>
            <w:r w:rsidR="00547588">
              <w:rPr>
                <w:sz w:val="20"/>
              </w:rPr>
              <w:t xml:space="preserve"> partially clear. 3 outcomes per question are used, but not all of the questions directly align to the outcomes.</w:t>
            </w:r>
            <w:r w:rsidR="00370C84">
              <w:rPr>
                <w:sz w:val="20"/>
              </w:rPr>
              <w:t xml:space="preserve"> </w:t>
            </w:r>
          </w:p>
          <w:p w14:paraId="6015EABE" w14:textId="77777777" w:rsidR="00972C84" w:rsidRDefault="00972C84" w:rsidP="006975A1">
            <w:pPr>
              <w:rPr>
                <w:sz w:val="20"/>
              </w:rPr>
            </w:pPr>
          </w:p>
          <w:p w14:paraId="65398682" w14:textId="28DD33DE" w:rsidR="00972C84" w:rsidRDefault="00972C84" w:rsidP="00072BD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For Rubrics: The rubric domains </w:t>
            </w:r>
            <w:r w:rsidR="00072BD6">
              <w:rPr>
                <w:sz w:val="20"/>
              </w:rPr>
              <w:t xml:space="preserve">only partially cover the outcomes. Several performance levels overlap, and there are multiple uses of vague language that hinders clarity. </w:t>
            </w:r>
          </w:p>
        </w:tc>
        <w:tc>
          <w:tcPr>
            <w:tcW w:w="575" w:type="pct"/>
          </w:tcPr>
          <w:p w14:paraId="7C9839E1" w14:textId="72974116" w:rsidR="00A40BFF" w:rsidRDefault="002B10C0" w:rsidP="00D35E9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The MC </w:t>
            </w:r>
            <w:r w:rsidR="0082105D">
              <w:rPr>
                <w:sz w:val="20"/>
              </w:rPr>
              <w:t>and/</w:t>
            </w:r>
            <w:r>
              <w:rPr>
                <w:sz w:val="20"/>
              </w:rPr>
              <w:t>or r</w:t>
            </w:r>
            <w:r w:rsidR="00370C84">
              <w:rPr>
                <w:sz w:val="20"/>
              </w:rPr>
              <w:t xml:space="preserve">ubric-based assessment tool is not reliable. </w:t>
            </w:r>
          </w:p>
          <w:p w14:paraId="7437C76A" w14:textId="77777777" w:rsidR="00972C84" w:rsidRDefault="00972C84" w:rsidP="00D35E92">
            <w:pPr>
              <w:rPr>
                <w:sz w:val="20"/>
              </w:rPr>
            </w:pPr>
            <w:r>
              <w:rPr>
                <w:sz w:val="20"/>
              </w:rPr>
              <w:t xml:space="preserve">For MC Assessments: </w:t>
            </w:r>
          </w:p>
          <w:p w14:paraId="25782A66" w14:textId="77777777" w:rsidR="00972C84" w:rsidRDefault="00972C84" w:rsidP="00D35E92">
            <w:pPr>
              <w:rPr>
                <w:sz w:val="20"/>
              </w:rPr>
            </w:pPr>
          </w:p>
          <w:p w14:paraId="50F18CD8" w14:textId="1AEA3176" w:rsidR="00370C84" w:rsidRDefault="00370C84" w:rsidP="00D35E92">
            <w:pPr>
              <w:rPr>
                <w:sz w:val="20"/>
              </w:rPr>
            </w:pPr>
            <w:r>
              <w:rPr>
                <w:sz w:val="20"/>
              </w:rPr>
              <w:t xml:space="preserve">The MC questions are </w:t>
            </w:r>
            <w:r w:rsidR="00547588">
              <w:rPr>
                <w:sz w:val="20"/>
              </w:rPr>
              <w:t xml:space="preserve">vague and not directly tied to the outcomes. Fewer than 3 questions per </w:t>
            </w:r>
            <w:r w:rsidR="00547588">
              <w:rPr>
                <w:sz w:val="20"/>
              </w:rPr>
              <w:lastRenderedPageBreak/>
              <w:t>outcome are used.</w:t>
            </w:r>
          </w:p>
          <w:p w14:paraId="5DB51761" w14:textId="77777777" w:rsidR="00972C84" w:rsidRDefault="00972C84" w:rsidP="00D35E92">
            <w:pPr>
              <w:rPr>
                <w:sz w:val="20"/>
              </w:rPr>
            </w:pPr>
          </w:p>
          <w:p w14:paraId="6AEA1B0A" w14:textId="52AC8717" w:rsidR="00972C84" w:rsidRDefault="00972C84" w:rsidP="00C6497F">
            <w:pPr>
              <w:rPr>
                <w:sz w:val="20"/>
              </w:rPr>
            </w:pPr>
            <w:r>
              <w:rPr>
                <w:sz w:val="20"/>
              </w:rPr>
              <w:t xml:space="preserve">For Rubrics: The rubric domains </w:t>
            </w:r>
            <w:r w:rsidR="00C6497F">
              <w:rPr>
                <w:sz w:val="20"/>
              </w:rPr>
              <w:t>do not connect to any of the outcomes. The performance levels are redundant, and vague terms hinder clarity.</w:t>
            </w:r>
          </w:p>
        </w:tc>
        <w:tc>
          <w:tcPr>
            <w:tcW w:w="466" w:type="pct"/>
            <w:shd w:val="clear" w:color="auto" w:fill="92D050"/>
          </w:tcPr>
          <w:p w14:paraId="321C4B77" w14:textId="77777777" w:rsidR="00A40BFF" w:rsidRPr="002C1DA3" w:rsidRDefault="00A40BFF" w:rsidP="00C84CEF">
            <w:pPr>
              <w:rPr>
                <w:sz w:val="20"/>
              </w:rPr>
            </w:pPr>
          </w:p>
        </w:tc>
        <w:tc>
          <w:tcPr>
            <w:tcW w:w="477" w:type="pct"/>
            <w:shd w:val="clear" w:color="auto" w:fill="92D050"/>
          </w:tcPr>
          <w:p w14:paraId="0287DF63" w14:textId="77777777" w:rsidR="00A40BFF" w:rsidRPr="002C1DA3" w:rsidRDefault="00A40BFF" w:rsidP="00C84CEF">
            <w:pPr>
              <w:rPr>
                <w:sz w:val="20"/>
              </w:rPr>
            </w:pPr>
          </w:p>
        </w:tc>
      </w:tr>
      <w:tr w:rsidR="00C84CEF" w:rsidRPr="002C1DA3" w14:paraId="553B1AA7" w14:textId="77777777" w:rsidTr="00BD1581">
        <w:trPr>
          <w:jc w:val="center"/>
        </w:trPr>
        <w:tc>
          <w:tcPr>
            <w:tcW w:w="664" w:type="pct"/>
            <w:shd w:val="clear" w:color="auto" w:fill="B8CCE4"/>
          </w:tcPr>
          <w:p w14:paraId="18C2BD4D" w14:textId="0283995E" w:rsidR="00C84CEF" w:rsidRDefault="00C84CEF" w:rsidP="00C84CEF">
            <w:pPr>
              <w:rPr>
                <w:sz w:val="20"/>
              </w:rPr>
            </w:pPr>
          </w:p>
          <w:p w14:paraId="16EBA679" w14:textId="79CD9877" w:rsidR="00C84CEF" w:rsidRDefault="00670D2A" w:rsidP="00C84CEF">
            <w:pPr>
              <w:rPr>
                <w:sz w:val="20"/>
              </w:rPr>
            </w:pPr>
            <w:r>
              <w:rPr>
                <w:sz w:val="20"/>
              </w:rPr>
              <w:t>Assessment Data</w:t>
            </w:r>
            <w:r w:rsidR="00691C82">
              <w:rPr>
                <w:sz w:val="20"/>
              </w:rPr>
              <w:t>: SLOAR</w:t>
            </w:r>
            <w:r w:rsidR="00E05E8A">
              <w:rPr>
                <w:sz w:val="20"/>
              </w:rPr>
              <w:t xml:space="preserve"> – Success Rate</w:t>
            </w:r>
          </w:p>
          <w:p w14:paraId="695E308B" w14:textId="77777777" w:rsidR="00C84CEF" w:rsidRDefault="00C84CEF" w:rsidP="00C84CEF">
            <w:pPr>
              <w:rPr>
                <w:sz w:val="20"/>
              </w:rPr>
            </w:pPr>
          </w:p>
          <w:p w14:paraId="5D79345D" w14:textId="77777777" w:rsidR="00C84CEF" w:rsidRDefault="00C84CEF" w:rsidP="00C84CEF">
            <w:pPr>
              <w:rPr>
                <w:sz w:val="20"/>
              </w:rPr>
            </w:pPr>
          </w:p>
          <w:p w14:paraId="7D557BB1" w14:textId="77777777" w:rsidR="00C84CEF" w:rsidRPr="002C1DA3" w:rsidRDefault="00C84CEF" w:rsidP="00C84CEF">
            <w:pPr>
              <w:rPr>
                <w:sz w:val="20"/>
              </w:rPr>
            </w:pPr>
          </w:p>
        </w:tc>
        <w:tc>
          <w:tcPr>
            <w:tcW w:w="705" w:type="pct"/>
          </w:tcPr>
          <w:p w14:paraId="5F5F154C" w14:textId="3FA2F9FE" w:rsidR="00E05E8A" w:rsidRDefault="00E05E8A" w:rsidP="00A80918">
            <w:pPr>
              <w:rPr>
                <w:sz w:val="20"/>
              </w:rPr>
            </w:pPr>
            <w:r>
              <w:rPr>
                <w:sz w:val="20"/>
              </w:rPr>
              <w:t xml:space="preserve">The percentage of students </w:t>
            </w:r>
            <w:r w:rsidR="00D37896">
              <w:rPr>
                <w:sz w:val="20"/>
              </w:rPr>
              <w:t>who</w:t>
            </w:r>
            <w:r>
              <w:rPr>
                <w:sz w:val="20"/>
              </w:rPr>
              <w:t xml:space="preserve"> are successful* </w:t>
            </w:r>
            <w:r w:rsidR="00D37896">
              <w:rPr>
                <w:sz w:val="20"/>
              </w:rPr>
              <w:t xml:space="preserve">meets the department preset target </w:t>
            </w:r>
            <w:r w:rsidRPr="00D37896">
              <w:rPr>
                <w:sz w:val="20"/>
                <w:u w:val="single"/>
              </w:rPr>
              <w:t>for all course outcomes</w:t>
            </w:r>
          </w:p>
          <w:p w14:paraId="6FC8309D" w14:textId="77777777" w:rsidR="004902B0" w:rsidRDefault="004902B0" w:rsidP="00A80918">
            <w:pPr>
              <w:rPr>
                <w:sz w:val="20"/>
              </w:rPr>
            </w:pPr>
          </w:p>
          <w:p w14:paraId="6DFDEE18" w14:textId="31606D9A" w:rsidR="004902B0" w:rsidRDefault="00E05E8A" w:rsidP="00A80918">
            <w:pPr>
              <w:rPr>
                <w:sz w:val="20"/>
              </w:rPr>
            </w:pPr>
            <w:r>
              <w:rPr>
                <w:sz w:val="20"/>
              </w:rPr>
              <w:t>*Successful is defined as the sum of the Excellent, Good, and Average percentages on the SLOAR graph</w:t>
            </w:r>
          </w:p>
          <w:p w14:paraId="53773BDF" w14:textId="2093E2DB" w:rsidR="00C84CEF" w:rsidRPr="002C1DA3" w:rsidRDefault="000A0B36" w:rsidP="00A8091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pct"/>
          </w:tcPr>
          <w:p w14:paraId="1B671EBB" w14:textId="12DA3D90" w:rsidR="004C33A5" w:rsidRPr="00D37896" w:rsidRDefault="004C33A5" w:rsidP="004C33A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The percentage of students </w:t>
            </w:r>
            <w:r w:rsidR="00D37896">
              <w:rPr>
                <w:sz w:val="20"/>
              </w:rPr>
              <w:t>who</w:t>
            </w:r>
            <w:r>
              <w:rPr>
                <w:sz w:val="20"/>
              </w:rPr>
              <w:t xml:space="preserve"> are successful* </w:t>
            </w:r>
            <w:r w:rsidR="00D37896" w:rsidRPr="00D37896">
              <w:rPr>
                <w:sz w:val="20"/>
              </w:rPr>
              <w:t xml:space="preserve">meets the department preset target </w:t>
            </w:r>
            <w:r w:rsidRPr="00D37896">
              <w:rPr>
                <w:sz w:val="20"/>
                <w:u w:val="single"/>
              </w:rPr>
              <w:t>for 90-70% of course outcomes</w:t>
            </w:r>
          </w:p>
          <w:p w14:paraId="2040BC8B" w14:textId="69D9FFF4" w:rsidR="00C84CEF" w:rsidRPr="002C1DA3" w:rsidRDefault="00C84CEF" w:rsidP="004902B0">
            <w:pPr>
              <w:rPr>
                <w:sz w:val="20"/>
              </w:rPr>
            </w:pPr>
          </w:p>
        </w:tc>
        <w:tc>
          <w:tcPr>
            <w:tcW w:w="705" w:type="pct"/>
          </w:tcPr>
          <w:p w14:paraId="26A62F1F" w14:textId="7CFBE202" w:rsidR="004C33A5" w:rsidRPr="00D37896" w:rsidRDefault="004C33A5" w:rsidP="004C33A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The percentage of students </w:t>
            </w:r>
            <w:r w:rsidR="00D37896">
              <w:rPr>
                <w:sz w:val="20"/>
              </w:rPr>
              <w:t>who</w:t>
            </w:r>
            <w:r>
              <w:rPr>
                <w:sz w:val="20"/>
              </w:rPr>
              <w:t xml:space="preserve"> are successful* </w:t>
            </w:r>
            <w:r w:rsidR="00D37896">
              <w:rPr>
                <w:sz w:val="20"/>
              </w:rPr>
              <w:t xml:space="preserve">meets the department preset target </w:t>
            </w:r>
            <w:r w:rsidRPr="00D37896">
              <w:rPr>
                <w:sz w:val="20"/>
                <w:u w:val="single"/>
              </w:rPr>
              <w:t>for 69-50% of course outcomes</w:t>
            </w:r>
          </w:p>
          <w:p w14:paraId="6E8DF4DD" w14:textId="67BD7262" w:rsidR="00C84CEF" w:rsidRPr="002C1DA3" w:rsidRDefault="00C84CEF" w:rsidP="00A80918">
            <w:pPr>
              <w:rPr>
                <w:sz w:val="20"/>
              </w:rPr>
            </w:pPr>
          </w:p>
        </w:tc>
        <w:tc>
          <w:tcPr>
            <w:tcW w:w="705" w:type="pct"/>
          </w:tcPr>
          <w:p w14:paraId="3C419DF1" w14:textId="46D29CD2" w:rsidR="004C33A5" w:rsidRDefault="004C33A5" w:rsidP="004C33A5">
            <w:pPr>
              <w:rPr>
                <w:sz w:val="20"/>
              </w:rPr>
            </w:pPr>
            <w:r>
              <w:rPr>
                <w:sz w:val="20"/>
              </w:rPr>
              <w:t xml:space="preserve">The percentage of students </w:t>
            </w:r>
            <w:r w:rsidR="00D37896">
              <w:rPr>
                <w:sz w:val="20"/>
              </w:rPr>
              <w:t>who</w:t>
            </w:r>
            <w:r>
              <w:rPr>
                <w:sz w:val="20"/>
              </w:rPr>
              <w:t xml:space="preserve"> are successful* </w:t>
            </w:r>
            <w:r w:rsidR="00D37896" w:rsidRPr="00D37896">
              <w:rPr>
                <w:sz w:val="20"/>
              </w:rPr>
              <w:t>meets the department preset target</w:t>
            </w:r>
            <w:r w:rsidR="00BD1581" w:rsidRPr="00BD1581">
              <w:rPr>
                <w:sz w:val="20"/>
              </w:rPr>
              <w:t xml:space="preserve"> </w:t>
            </w:r>
            <w:r w:rsidRPr="00D37896">
              <w:rPr>
                <w:sz w:val="20"/>
                <w:u w:val="single"/>
              </w:rPr>
              <w:t>for only some (&lt;50%) of course outcomes</w:t>
            </w:r>
          </w:p>
          <w:p w14:paraId="56F7B05B" w14:textId="6514BDAD" w:rsidR="00C84CEF" w:rsidRPr="002C1DA3" w:rsidRDefault="00C84CEF" w:rsidP="00924D94">
            <w:pPr>
              <w:rPr>
                <w:sz w:val="20"/>
              </w:rPr>
            </w:pPr>
          </w:p>
        </w:tc>
        <w:tc>
          <w:tcPr>
            <w:tcW w:w="575" w:type="pct"/>
          </w:tcPr>
          <w:p w14:paraId="0DB37737" w14:textId="232064B0" w:rsidR="004C33A5" w:rsidRDefault="004C33A5" w:rsidP="004C33A5">
            <w:pPr>
              <w:rPr>
                <w:sz w:val="20"/>
              </w:rPr>
            </w:pPr>
            <w:r>
              <w:rPr>
                <w:sz w:val="20"/>
              </w:rPr>
              <w:t xml:space="preserve">Students do not show desired success rates </w:t>
            </w:r>
            <w:r w:rsidRPr="00D37896">
              <w:rPr>
                <w:sz w:val="20"/>
                <w:u w:val="single"/>
              </w:rPr>
              <w:t>for any of the course outcomes</w:t>
            </w:r>
          </w:p>
          <w:p w14:paraId="38F121AB" w14:textId="77777777" w:rsidR="004C33A5" w:rsidRDefault="004C33A5" w:rsidP="004C33A5">
            <w:pPr>
              <w:rPr>
                <w:sz w:val="20"/>
              </w:rPr>
            </w:pPr>
          </w:p>
          <w:p w14:paraId="77356673" w14:textId="6EC05F4B" w:rsidR="00C84CEF" w:rsidRPr="002C1DA3" w:rsidRDefault="00C84CEF" w:rsidP="00840045">
            <w:pPr>
              <w:rPr>
                <w:sz w:val="20"/>
              </w:rPr>
            </w:pPr>
          </w:p>
        </w:tc>
        <w:tc>
          <w:tcPr>
            <w:tcW w:w="466" w:type="pct"/>
            <w:shd w:val="clear" w:color="auto" w:fill="92D050"/>
          </w:tcPr>
          <w:p w14:paraId="56A85059" w14:textId="77777777" w:rsidR="00C84CEF" w:rsidRPr="002C1DA3" w:rsidRDefault="00C84CEF" w:rsidP="00C84CEF">
            <w:pPr>
              <w:rPr>
                <w:sz w:val="20"/>
              </w:rPr>
            </w:pPr>
          </w:p>
        </w:tc>
        <w:tc>
          <w:tcPr>
            <w:tcW w:w="477" w:type="pct"/>
            <w:shd w:val="clear" w:color="auto" w:fill="92D050"/>
          </w:tcPr>
          <w:p w14:paraId="121F48DE" w14:textId="77777777" w:rsidR="00C84CEF" w:rsidRPr="002C1DA3" w:rsidRDefault="00C84CEF" w:rsidP="00C84CEF">
            <w:pPr>
              <w:rPr>
                <w:sz w:val="20"/>
              </w:rPr>
            </w:pPr>
          </w:p>
        </w:tc>
      </w:tr>
      <w:tr w:rsidR="00691C82" w:rsidRPr="002C1DA3" w14:paraId="7FF8CE7D" w14:textId="77777777" w:rsidTr="00BD1581">
        <w:trPr>
          <w:jc w:val="center"/>
        </w:trPr>
        <w:tc>
          <w:tcPr>
            <w:tcW w:w="664" w:type="pct"/>
            <w:shd w:val="clear" w:color="auto" w:fill="B8CCE4"/>
          </w:tcPr>
          <w:p w14:paraId="519C20E3" w14:textId="77777777" w:rsidR="00C525CD" w:rsidRDefault="00C525CD" w:rsidP="00C84CEF">
            <w:pPr>
              <w:rPr>
                <w:sz w:val="20"/>
              </w:rPr>
            </w:pPr>
          </w:p>
          <w:p w14:paraId="3923BDA1" w14:textId="33A41F80" w:rsidR="00691C82" w:rsidRDefault="00691C82" w:rsidP="00C84CEF">
            <w:pPr>
              <w:rPr>
                <w:sz w:val="20"/>
              </w:rPr>
            </w:pPr>
            <w:r>
              <w:rPr>
                <w:sz w:val="20"/>
              </w:rPr>
              <w:t>Assessment Data: Overall Course Performance</w:t>
            </w:r>
          </w:p>
        </w:tc>
        <w:tc>
          <w:tcPr>
            <w:tcW w:w="705" w:type="pct"/>
          </w:tcPr>
          <w:p w14:paraId="2B2E8907" w14:textId="03C0E67F" w:rsidR="00691C82" w:rsidRDefault="00BE2E97" w:rsidP="00A80918">
            <w:pPr>
              <w:rPr>
                <w:sz w:val="20"/>
              </w:rPr>
            </w:pPr>
            <w:r>
              <w:rPr>
                <w:sz w:val="20"/>
              </w:rPr>
              <w:t>Students’</w:t>
            </w:r>
            <w:r w:rsidR="00A3000A">
              <w:rPr>
                <w:sz w:val="20"/>
              </w:rPr>
              <w:t xml:space="preserve"> assessment scores </w:t>
            </w:r>
            <w:r w:rsidR="00A80918">
              <w:rPr>
                <w:sz w:val="20"/>
              </w:rPr>
              <w:t>directly</w:t>
            </w:r>
            <w:r w:rsidR="00A3000A">
              <w:rPr>
                <w:sz w:val="20"/>
              </w:rPr>
              <w:t xml:space="preserve"> align with their overall course grades, including F, W, and FX grades. </w:t>
            </w:r>
          </w:p>
        </w:tc>
        <w:tc>
          <w:tcPr>
            <w:tcW w:w="705" w:type="pct"/>
          </w:tcPr>
          <w:p w14:paraId="334BAC95" w14:textId="42A9FCB8" w:rsidR="00691C82" w:rsidRDefault="00A3000A" w:rsidP="00A3000A">
            <w:pPr>
              <w:rPr>
                <w:sz w:val="20"/>
              </w:rPr>
            </w:pPr>
            <w:r>
              <w:rPr>
                <w:sz w:val="20"/>
              </w:rPr>
              <w:t xml:space="preserve">Despite one or two discrepancies, a clear majority of the students’ assessment scores align with overall course </w:t>
            </w:r>
            <w:r>
              <w:rPr>
                <w:sz w:val="20"/>
              </w:rPr>
              <w:lastRenderedPageBreak/>
              <w:t>grades</w:t>
            </w:r>
            <w:r w:rsidR="00BE2E97">
              <w:rPr>
                <w:sz w:val="20"/>
              </w:rPr>
              <w:t>, including F, W, and FX grades</w:t>
            </w:r>
          </w:p>
        </w:tc>
        <w:tc>
          <w:tcPr>
            <w:tcW w:w="705" w:type="pct"/>
          </w:tcPr>
          <w:p w14:paraId="79289E33" w14:textId="30078FB2" w:rsidR="00691C82" w:rsidRDefault="00806796" w:rsidP="0011470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While student’s overall course grades are not as strong as assessment scores (or vice-versa), there </w:t>
            </w:r>
            <w:r w:rsidR="00C942EF">
              <w:rPr>
                <w:sz w:val="20"/>
              </w:rPr>
              <w:t xml:space="preserve">are no glaring problems (students </w:t>
            </w:r>
            <w:r w:rsidR="00C942EF">
              <w:rPr>
                <w:sz w:val="20"/>
              </w:rPr>
              <w:lastRenderedPageBreak/>
              <w:t>scoring “excellent” on the assessment, yet failing the course, for example)</w:t>
            </w:r>
          </w:p>
        </w:tc>
        <w:tc>
          <w:tcPr>
            <w:tcW w:w="705" w:type="pct"/>
          </w:tcPr>
          <w:p w14:paraId="264A1512" w14:textId="498F5B78" w:rsidR="00691C82" w:rsidRDefault="00BE2E97" w:rsidP="0011470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Overall, students’ assessment scores do not align </w:t>
            </w:r>
            <w:r w:rsidR="00E76393">
              <w:rPr>
                <w:sz w:val="20"/>
              </w:rPr>
              <w:t xml:space="preserve">with overall course performance (for instance, 70% of students scored </w:t>
            </w:r>
            <w:r w:rsidR="00E76393">
              <w:rPr>
                <w:sz w:val="20"/>
              </w:rPr>
              <w:lastRenderedPageBreak/>
              <w:t>“excellent” and “good” on the assessment, but 70% of the students did not pass the course).</w:t>
            </w:r>
          </w:p>
        </w:tc>
        <w:tc>
          <w:tcPr>
            <w:tcW w:w="575" w:type="pct"/>
          </w:tcPr>
          <w:p w14:paraId="031727D6" w14:textId="3CC6CA81" w:rsidR="00691C82" w:rsidRDefault="00BE2E97" w:rsidP="00DE075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There </w:t>
            </w:r>
            <w:r w:rsidR="00DE075B">
              <w:rPr>
                <w:sz w:val="20"/>
              </w:rPr>
              <w:t>are no</w:t>
            </w:r>
            <w:r>
              <w:rPr>
                <w:sz w:val="20"/>
              </w:rPr>
              <w:t xml:space="preserve"> correlation</w:t>
            </w:r>
            <w:r w:rsidR="00DE075B">
              <w:rPr>
                <w:sz w:val="20"/>
              </w:rPr>
              <w:t>s</w:t>
            </w:r>
            <w:r>
              <w:rPr>
                <w:sz w:val="20"/>
              </w:rPr>
              <w:t xml:space="preserve"> between assessments scores and students’ overall course grades, </w:t>
            </w:r>
            <w:r>
              <w:rPr>
                <w:sz w:val="20"/>
              </w:rPr>
              <w:lastRenderedPageBreak/>
              <w:t>including F, W, and FX grades</w:t>
            </w:r>
          </w:p>
        </w:tc>
        <w:tc>
          <w:tcPr>
            <w:tcW w:w="466" w:type="pct"/>
            <w:shd w:val="clear" w:color="auto" w:fill="92D050"/>
          </w:tcPr>
          <w:p w14:paraId="2A5FFD7B" w14:textId="77777777" w:rsidR="00691C82" w:rsidRPr="002C1DA3" w:rsidRDefault="00691C82" w:rsidP="00C84CEF">
            <w:pPr>
              <w:rPr>
                <w:sz w:val="20"/>
              </w:rPr>
            </w:pPr>
          </w:p>
        </w:tc>
        <w:tc>
          <w:tcPr>
            <w:tcW w:w="477" w:type="pct"/>
            <w:shd w:val="clear" w:color="auto" w:fill="92D050"/>
          </w:tcPr>
          <w:p w14:paraId="3F8C2F21" w14:textId="77777777" w:rsidR="00691C82" w:rsidRPr="002C1DA3" w:rsidRDefault="00691C82" w:rsidP="00C84CEF">
            <w:pPr>
              <w:rPr>
                <w:sz w:val="20"/>
              </w:rPr>
            </w:pPr>
          </w:p>
        </w:tc>
      </w:tr>
    </w:tbl>
    <w:p w14:paraId="3FD25E07" w14:textId="77777777" w:rsidR="0050248E" w:rsidRDefault="0050248E">
      <w:pPr>
        <w:rPr>
          <w:b/>
        </w:rPr>
      </w:pPr>
    </w:p>
    <w:p w14:paraId="6DA673D0" w14:textId="26B03378" w:rsidR="00C525CD" w:rsidRDefault="00BF51C6">
      <w:pPr>
        <w:rPr>
          <w:b/>
        </w:rPr>
      </w:pPr>
      <w:r>
        <w:rPr>
          <w:b/>
        </w:rPr>
        <w:t>In Conclusion:</w:t>
      </w:r>
    </w:p>
    <w:p w14:paraId="0D984C35" w14:textId="77777777" w:rsidR="00BF51C6" w:rsidRDefault="00BF51C6">
      <w:pPr>
        <w:rPr>
          <w:b/>
        </w:rPr>
      </w:pPr>
    </w:p>
    <w:p w14:paraId="55EF69F3" w14:textId="15C43FC0" w:rsidR="00BF51C6" w:rsidRDefault="00BF51C6">
      <w:r>
        <w:t xml:space="preserve">If </w:t>
      </w:r>
      <w:r w:rsidRPr="00A80378">
        <w:t>the assessment has scored in</w:t>
      </w:r>
      <w:r w:rsidRPr="00533686">
        <w:rPr>
          <w:b/>
        </w:rPr>
        <w:t xml:space="preserve"> the “Good” performance level or higher in at least </w:t>
      </w:r>
      <w:r w:rsidRPr="00533686">
        <w:rPr>
          <w:b/>
          <w:u w:val="single"/>
        </w:rPr>
        <w:t>3</w:t>
      </w:r>
      <w:r w:rsidRPr="00533686">
        <w:rPr>
          <w:b/>
        </w:rPr>
        <w:t xml:space="preserve"> of the domains</w:t>
      </w:r>
      <w:r w:rsidRPr="00A90D43">
        <w:t xml:space="preserve"> </w:t>
      </w:r>
      <w:r w:rsidRPr="00654BAA">
        <w:rPr>
          <w:b/>
          <w:i/>
        </w:rPr>
        <w:t>AND</w:t>
      </w:r>
      <w:r>
        <w:t xml:space="preserve"> </w:t>
      </w:r>
      <w:r w:rsidRPr="00A90D43">
        <w:rPr>
          <w:b/>
        </w:rPr>
        <w:t>no domains are scored in the “Below Average” or “Unsatisfactory” performance levels</w:t>
      </w:r>
      <w:r>
        <w:rPr>
          <w:b/>
        </w:rPr>
        <w:t xml:space="preserve"> </w:t>
      </w:r>
      <w:r>
        <w:t>this course meets benchmarks. The department will continue to use the embedded assessments as a regular component of the course, but the course does not need to be reassessed during the current</w:t>
      </w:r>
      <w:r w:rsidRPr="00630468">
        <w:t xml:space="preserve"> 5-Year Assessment Cycle</w:t>
      </w:r>
      <w:r>
        <w:t>.</w:t>
      </w:r>
    </w:p>
    <w:p w14:paraId="3652873B" w14:textId="77777777" w:rsidR="00BF51C6" w:rsidRDefault="00BF51C6"/>
    <w:p w14:paraId="171AA9C5" w14:textId="50521017" w:rsidR="00BF51C6" w:rsidRPr="00BF51C6" w:rsidRDefault="00BF51C6">
      <w:r w:rsidRPr="00654BAA">
        <w:t xml:space="preserve">If the assessment has scored in </w:t>
      </w:r>
      <w:r w:rsidRPr="00654BAA">
        <w:rPr>
          <w:b/>
        </w:rPr>
        <w:t xml:space="preserve">the “Good” performance level or higher in LESS than 3 of the domains </w:t>
      </w:r>
      <w:r w:rsidRPr="00654BAA">
        <w:rPr>
          <w:b/>
          <w:i/>
        </w:rPr>
        <w:t>OR</w:t>
      </w:r>
      <w:r w:rsidRPr="00654BAA">
        <w:rPr>
          <w:b/>
        </w:rPr>
        <w:t xml:space="preserve"> </w:t>
      </w:r>
      <w:r>
        <w:rPr>
          <w:b/>
        </w:rPr>
        <w:t>one or more domains have scored</w:t>
      </w:r>
      <w:r w:rsidRPr="00654BAA">
        <w:rPr>
          <w:b/>
        </w:rPr>
        <w:t xml:space="preserve"> in the “Below Average” or “Unsatisfactory” performance levels</w:t>
      </w:r>
      <w:r w:rsidRPr="00832578">
        <w:rPr>
          <w:b/>
        </w:rPr>
        <w:t>, an Action Plan for reassessment</w:t>
      </w:r>
      <w:r>
        <w:rPr>
          <w:b/>
        </w:rPr>
        <w:t xml:space="preserve"> needs to be completed, following t</w:t>
      </w:r>
      <w:r w:rsidRPr="00832578">
        <w:rPr>
          <w:b/>
        </w:rPr>
        <w:t>he “Guidelines for Creating Action Plans”</w:t>
      </w:r>
      <w:r w:rsidRPr="00832578">
        <w:t xml:space="preserve"> on the AAAC page on</w:t>
      </w:r>
      <w:r>
        <w:t xml:space="preserve"> MyPGCC and the College</w:t>
      </w:r>
      <w:r w:rsidRPr="00832578">
        <w:t xml:space="preserve"> Assessment Materials folder on S: Assessment, Guidelines and Forms- Public folder</w:t>
      </w:r>
    </w:p>
    <w:p w14:paraId="5CC076D4" w14:textId="77777777" w:rsidR="00BF51C6" w:rsidRDefault="00BF51C6">
      <w:pPr>
        <w:rPr>
          <w:b/>
        </w:rPr>
      </w:pPr>
    </w:p>
    <w:p w14:paraId="5508A25B" w14:textId="09E6CE74" w:rsidR="00BF51C6" w:rsidRPr="00BF51C6" w:rsidRDefault="00BF51C6">
      <w:r>
        <w:t xml:space="preserve">Please select one of the following: </w:t>
      </w:r>
    </w:p>
    <w:p w14:paraId="49AEE762" w14:textId="77777777" w:rsidR="00BF51C6" w:rsidRDefault="00BF51C6"/>
    <w:p w14:paraId="50B34E7F" w14:textId="24BF7754" w:rsidR="00BF51C6" w:rsidRPr="00BF51C6" w:rsidRDefault="00C75C5C" w:rsidP="00BF51C6">
      <w:pPr>
        <w:tabs>
          <w:tab w:val="left" w:pos="720"/>
        </w:tabs>
      </w:pPr>
      <w:sdt>
        <w:sdtPr>
          <w:id w:val="-132966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1C6">
            <w:rPr>
              <w:rFonts w:ascii="MS Gothic" w:eastAsia="MS Gothic" w:hAnsi="MS Gothic" w:hint="eastAsia"/>
            </w:rPr>
            <w:t>☐</w:t>
          </w:r>
        </w:sdtContent>
      </w:sdt>
      <w:r w:rsidR="00BF51C6">
        <w:tab/>
        <w:t>This course meets the benchmarks and will be assessed again in the next assessment cycle</w:t>
      </w:r>
    </w:p>
    <w:p w14:paraId="25B5DA1E" w14:textId="77777777" w:rsidR="00C525CD" w:rsidRDefault="00C525CD">
      <w:pPr>
        <w:rPr>
          <w:b/>
        </w:rPr>
      </w:pPr>
    </w:p>
    <w:p w14:paraId="514F0762" w14:textId="60519819" w:rsidR="00D5286D" w:rsidRDefault="00C75C5C">
      <w:sdt>
        <w:sdtPr>
          <w:id w:val="-98131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1C6">
            <w:rPr>
              <w:rFonts w:ascii="MS Gothic" w:eastAsia="MS Gothic" w:hAnsi="MS Gothic" w:hint="eastAsia"/>
            </w:rPr>
            <w:t>☐</w:t>
          </w:r>
        </w:sdtContent>
      </w:sdt>
      <w:r w:rsidR="00BF51C6">
        <w:tab/>
        <w:t>This course does not meet the benchmarks and an action plan will be developed.</w:t>
      </w:r>
    </w:p>
    <w:p w14:paraId="5FDB2A78" w14:textId="3544D4F8" w:rsidR="00D5286D" w:rsidRPr="00941798" w:rsidRDefault="00D5286D"/>
    <w:sectPr w:rsidR="00D5286D" w:rsidRPr="00941798" w:rsidSect="00C84CEF">
      <w:headerReference w:type="even" r:id="rId11"/>
      <w:headerReference w:type="default" r:id="rId12"/>
      <w:footerReference w:type="default" r:id="rId13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0B4B4" w14:textId="77777777" w:rsidR="00C75C5C" w:rsidRDefault="00C75C5C" w:rsidP="00CA4E76">
      <w:r>
        <w:separator/>
      </w:r>
    </w:p>
  </w:endnote>
  <w:endnote w:type="continuationSeparator" w:id="0">
    <w:p w14:paraId="42F5CC83" w14:textId="77777777" w:rsidR="00C75C5C" w:rsidRDefault="00C75C5C" w:rsidP="00CA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EC319" w14:textId="3AF034B9" w:rsidR="00B02BA7" w:rsidRPr="00695095" w:rsidRDefault="00B94168" w:rsidP="00537617">
    <w:pPr>
      <w:pStyle w:val="Footer"/>
      <w:pBdr>
        <w:top w:val="thinThickSmallGap" w:sz="24" w:space="1" w:color="622423"/>
      </w:pBdr>
      <w:tabs>
        <w:tab w:val="right" w:pos="12960"/>
      </w:tabs>
      <w:jc w:val="center"/>
      <w:rPr>
        <w:rFonts w:cs="Cambria"/>
        <w:sz w:val="16"/>
      </w:rPr>
    </w:pPr>
    <w:r>
      <w:rPr>
        <w:rFonts w:cs="Cambria"/>
        <w:sz w:val="16"/>
      </w:rPr>
      <w:t>RAE</w:t>
    </w:r>
    <w:r w:rsidR="00B02BA7">
      <w:rPr>
        <w:rFonts w:cs="Cambria"/>
        <w:sz w:val="16"/>
      </w:rPr>
      <w:t xml:space="preserve"> – ver. </w:t>
    </w:r>
    <w:r w:rsidR="00C525CD">
      <w:rPr>
        <w:rFonts w:cs="Cambria"/>
        <w:sz w:val="16"/>
      </w:rPr>
      <w:t>2017-2018</w:t>
    </w:r>
    <w:r w:rsidR="00B02BA7" w:rsidRPr="00D92CE7">
      <w:rPr>
        <w:rFonts w:cs="Cambria"/>
        <w:sz w:val="16"/>
      </w:rPr>
      <w:t>-</w:t>
    </w:r>
    <w:r w:rsidR="00B02BA7">
      <w:rPr>
        <w:rFonts w:cs="Cambria"/>
        <w:sz w:val="16"/>
      </w:rPr>
      <w:t xml:space="preserve"> Rubric for </w:t>
    </w:r>
    <w:r w:rsidR="00924D94">
      <w:rPr>
        <w:rFonts w:cs="Cambria"/>
        <w:sz w:val="16"/>
      </w:rPr>
      <w:t>Reassessment</w:t>
    </w:r>
    <w:r w:rsidR="00B02BA7">
      <w:rPr>
        <w:rFonts w:cs="Cambria"/>
        <w:noProof/>
        <w:sz w:val="16"/>
      </w:rPr>
      <w:t xml:space="preserve"> </w:t>
    </w:r>
    <w:r w:rsidR="00B02BA7">
      <w:rPr>
        <w:rFonts w:cs="Cambria"/>
        <w:noProof/>
        <w:sz w:val="16"/>
      </w:rPr>
      <w:tab/>
      <w:t xml:space="preserve">   </w:t>
    </w:r>
    <w:r w:rsidR="00B02BA7">
      <w:rPr>
        <w:rFonts w:ascii="Calibri" w:hAnsi="Calibri"/>
      </w:rPr>
      <w:t xml:space="preserve">Page </w:t>
    </w:r>
    <w:r w:rsidR="00B02BA7">
      <w:rPr>
        <w:rFonts w:ascii="Cambria" w:hAnsi="Cambria"/>
      </w:rPr>
      <w:fldChar w:fldCharType="begin"/>
    </w:r>
    <w:r w:rsidR="00B02BA7">
      <w:instrText xml:space="preserve"> PAGE   \* MERGEFORMAT </w:instrText>
    </w:r>
    <w:r w:rsidR="00B02BA7">
      <w:rPr>
        <w:rFonts w:ascii="Cambria" w:hAnsi="Cambria"/>
      </w:rPr>
      <w:fldChar w:fldCharType="separate"/>
    </w:r>
    <w:r w:rsidR="00470D2A" w:rsidRPr="00470D2A">
      <w:rPr>
        <w:rFonts w:ascii="Calibri" w:hAnsi="Calibri"/>
        <w:noProof/>
      </w:rPr>
      <w:t>3</w:t>
    </w:r>
    <w:r w:rsidR="00B02BA7">
      <w:rPr>
        <w:rFonts w:ascii="Calibri" w:hAnsi="Calibri"/>
        <w:noProof/>
      </w:rPr>
      <w:fldChar w:fldCharType="end"/>
    </w:r>
  </w:p>
  <w:p w14:paraId="2312830D" w14:textId="77777777" w:rsidR="00B02BA7" w:rsidRDefault="00B02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77D57" w14:textId="77777777" w:rsidR="00C75C5C" w:rsidRDefault="00C75C5C" w:rsidP="00CA4E76">
      <w:r>
        <w:separator/>
      </w:r>
    </w:p>
  </w:footnote>
  <w:footnote w:type="continuationSeparator" w:id="0">
    <w:p w14:paraId="6D540DD5" w14:textId="77777777" w:rsidR="00C75C5C" w:rsidRDefault="00C75C5C" w:rsidP="00CA4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51816" w14:textId="77777777" w:rsidR="00B02BA7" w:rsidRDefault="00C75C5C">
    <w:pPr>
      <w:pStyle w:val="Header"/>
    </w:pPr>
    <w:sdt>
      <w:sdtPr>
        <w:id w:val="171999623"/>
        <w:placeholder>
          <w:docPart w:val="22B154DA4A41914D9A986672B339850C"/>
        </w:placeholder>
        <w:temporary/>
        <w:showingPlcHdr/>
      </w:sdtPr>
      <w:sdtEndPr/>
      <w:sdtContent>
        <w:r w:rsidR="00B02BA7">
          <w:t>[Type text]</w:t>
        </w:r>
      </w:sdtContent>
    </w:sdt>
    <w:r w:rsidR="00B02BA7">
      <w:ptab w:relativeTo="margin" w:alignment="center" w:leader="none"/>
    </w:r>
    <w:sdt>
      <w:sdtPr>
        <w:id w:val="171999624"/>
        <w:placeholder>
          <w:docPart w:val="ADEC0AB7F8EB1D47BDFBAFBCDA724153"/>
        </w:placeholder>
        <w:temporary/>
        <w:showingPlcHdr/>
      </w:sdtPr>
      <w:sdtEndPr/>
      <w:sdtContent>
        <w:r w:rsidR="00B02BA7">
          <w:t>[Type text]</w:t>
        </w:r>
      </w:sdtContent>
    </w:sdt>
    <w:r w:rsidR="00B02BA7">
      <w:ptab w:relativeTo="margin" w:alignment="right" w:leader="none"/>
    </w:r>
    <w:sdt>
      <w:sdtPr>
        <w:id w:val="171999625"/>
        <w:placeholder>
          <w:docPart w:val="7CD9E4FED299884BBE40DD6BB5664F2C"/>
        </w:placeholder>
        <w:temporary/>
        <w:showingPlcHdr/>
      </w:sdtPr>
      <w:sdtEndPr/>
      <w:sdtContent>
        <w:r w:rsidR="00B02BA7">
          <w:t>[Type text]</w:t>
        </w:r>
      </w:sdtContent>
    </w:sdt>
  </w:p>
  <w:p w14:paraId="58E8E243" w14:textId="77777777" w:rsidR="00B02BA7" w:rsidRDefault="00B02B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7B59F" w14:textId="77777777" w:rsidR="00B02BA7" w:rsidRDefault="00B02BA7" w:rsidP="00B32913">
    <w:pPr>
      <w:pStyle w:val="Header"/>
      <w:jc w:val="center"/>
      <w:rPr>
        <w:rFonts w:cs="Cambria"/>
        <w:b/>
        <w:sz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4715AC" wp14:editId="1F171CC3">
          <wp:simplePos x="0" y="0"/>
          <wp:positionH relativeFrom="column">
            <wp:posOffset>-800100</wp:posOffset>
          </wp:positionH>
          <wp:positionV relativeFrom="paragraph">
            <wp:posOffset>-228600</wp:posOffset>
          </wp:positionV>
          <wp:extent cx="1993265" cy="514350"/>
          <wp:effectExtent l="0" t="0" r="698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F720C" w14:textId="035D6CC5" w:rsidR="00B02BA7" w:rsidRDefault="00B02BA7" w:rsidP="00B32913">
    <w:pPr>
      <w:pStyle w:val="Header"/>
      <w:jc w:val="center"/>
      <w:rPr>
        <w:rFonts w:cs="Cambria"/>
        <w:b/>
        <w:sz w:val="36"/>
      </w:rPr>
    </w:pPr>
    <w:r>
      <w:rPr>
        <w:rFonts w:cs="Cambria"/>
        <w:b/>
        <w:sz w:val="36"/>
      </w:rPr>
      <w:t xml:space="preserve">Template—Rubric for </w:t>
    </w:r>
    <w:r w:rsidR="00924D94">
      <w:rPr>
        <w:rFonts w:cs="Cambria"/>
        <w:b/>
        <w:sz w:val="36"/>
      </w:rPr>
      <w:t>Reassessment</w:t>
    </w:r>
  </w:p>
  <w:p w14:paraId="736459A5" w14:textId="6F02EE2A" w:rsidR="00B02BA7" w:rsidRDefault="00B02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E3F2F"/>
    <w:multiLevelType w:val="hybridMultilevel"/>
    <w:tmpl w:val="71F4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56F38"/>
    <w:multiLevelType w:val="hybridMultilevel"/>
    <w:tmpl w:val="29CA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E5B7B"/>
    <w:multiLevelType w:val="hybridMultilevel"/>
    <w:tmpl w:val="877C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43782"/>
    <w:multiLevelType w:val="hybridMultilevel"/>
    <w:tmpl w:val="65CEF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13EE1"/>
    <w:multiLevelType w:val="hybridMultilevel"/>
    <w:tmpl w:val="EAF8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00829"/>
    <w:multiLevelType w:val="hybridMultilevel"/>
    <w:tmpl w:val="7612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D5"/>
    <w:rsid w:val="00012122"/>
    <w:rsid w:val="00024B68"/>
    <w:rsid w:val="00072BD6"/>
    <w:rsid w:val="000A0B36"/>
    <w:rsid w:val="000D2A32"/>
    <w:rsid w:val="000D4591"/>
    <w:rsid w:val="000F0A54"/>
    <w:rsid w:val="00114701"/>
    <w:rsid w:val="001558C0"/>
    <w:rsid w:val="00171C42"/>
    <w:rsid w:val="00185895"/>
    <w:rsid w:val="001E1D57"/>
    <w:rsid w:val="001E729E"/>
    <w:rsid w:val="0024285F"/>
    <w:rsid w:val="00242C32"/>
    <w:rsid w:val="002458AE"/>
    <w:rsid w:val="00270031"/>
    <w:rsid w:val="00286885"/>
    <w:rsid w:val="002918A1"/>
    <w:rsid w:val="002966A7"/>
    <w:rsid w:val="002B10C0"/>
    <w:rsid w:val="002C70F7"/>
    <w:rsid w:val="002D53B6"/>
    <w:rsid w:val="00300DE4"/>
    <w:rsid w:val="00315681"/>
    <w:rsid w:val="0034751E"/>
    <w:rsid w:val="00355AB5"/>
    <w:rsid w:val="00370C84"/>
    <w:rsid w:val="003912D3"/>
    <w:rsid w:val="003B51D0"/>
    <w:rsid w:val="00416E43"/>
    <w:rsid w:val="00470D2A"/>
    <w:rsid w:val="004902B0"/>
    <w:rsid w:val="004C33A5"/>
    <w:rsid w:val="004C4A2E"/>
    <w:rsid w:val="004C7A47"/>
    <w:rsid w:val="004F0CD6"/>
    <w:rsid w:val="004F6402"/>
    <w:rsid w:val="00501EA8"/>
    <w:rsid w:val="0050248E"/>
    <w:rsid w:val="00537617"/>
    <w:rsid w:val="0054507C"/>
    <w:rsid w:val="00547588"/>
    <w:rsid w:val="00573F2D"/>
    <w:rsid w:val="005A10FE"/>
    <w:rsid w:val="005A3157"/>
    <w:rsid w:val="00612C4B"/>
    <w:rsid w:val="00630468"/>
    <w:rsid w:val="00654BAA"/>
    <w:rsid w:val="00670D2A"/>
    <w:rsid w:val="00691C82"/>
    <w:rsid w:val="006975A1"/>
    <w:rsid w:val="006D0AF5"/>
    <w:rsid w:val="006F0879"/>
    <w:rsid w:val="006F4C35"/>
    <w:rsid w:val="007028C6"/>
    <w:rsid w:val="00705496"/>
    <w:rsid w:val="00720A21"/>
    <w:rsid w:val="007311DB"/>
    <w:rsid w:val="00781DD9"/>
    <w:rsid w:val="007D77C9"/>
    <w:rsid w:val="007F54D5"/>
    <w:rsid w:val="0080485F"/>
    <w:rsid w:val="00806796"/>
    <w:rsid w:val="0081477D"/>
    <w:rsid w:val="0082105D"/>
    <w:rsid w:val="00832578"/>
    <w:rsid w:val="00840045"/>
    <w:rsid w:val="008A2214"/>
    <w:rsid w:val="008A3535"/>
    <w:rsid w:val="008B20B8"/>
    <w:rsid w:val="008B5902"/>
    <w:rsid w:val="008E7EF6"/>
    <w:rsid w:val="00915B81"/>
    <w:rsid w:val="00915F8F"/>
    <w:rsid w:val="00917E02"/>
    <w:rsid w:val="00924D94"/>
    <w:rsid w:val="009263D0"/>
    <w:rsid w:val="00930B14"/>
    <w:rsid w:val="00941798"/>
    <w:rsid w:val="0094781E"/>
    <w:rsid w:val="00972C84"/>
    <w:rsid w:val="0099079E"/>
    <w:rsid w:val="009E4752"/>
    <w:rsid w:val="009F5AC8"/>
    <w:rsid w:val="00A22C21"/>
    <w:rsid w:val="00A3000A"/>
    <w:rsid w:val="00A40BFF"/>
    <w:rsid w:val="00A531CA"/>
    <w:rsid w:val="00A75EEE"/>
    <w:rsid w:val="00A80378"/>
    <w:rsid w:val="00A80918"/>
    <w:rsid w:val="00A90D43"/>
    <w:rsid w:val="00A93D7F"/>
    <w:rsid w:val="00A954E2"/>
    <w:rsid w:val="00AB0FD7"/>
    <w:rsid w:val="00AC3EB9"/>
    <w:rsid w:val="00B02BA7"/>
    <w:rsid w:val="00B3034D"/>
    <w:rsid w:val="00B32913"/>
    <w:rsid w:val="00B32A16"/>
    <w:rsid w:val="00B73B2D"/>
    <w:rsid w:val="00B94168"/>
    <w:rsid w:val="00BC329F"/>
    <w:rsid w:val="00BD1581"/>
    <w:rsid w:val="00BE2E97"/>
    <w:rsid w:val="00BE55F5"/>
    <w:rsid w:val="00BE5C7C"/>
    <w:rsid w:val="00BF51C6"/>
    <w:rsid w:val="00BF7526"/>
    <w:rsid w:val="00C0794B"/>
    <w:rsid w:val="00C26918"/>
    <w:rsid w:val="00C321E1"/>
    <w:rsid w:val="00C525CD"/>
    <w:rsid w:val="00C6497F"/>
    <w:rsid w:val="00C75C5C"/>
    <w:rsid w:val="00C84CEF"/>
    <w:rsid w:val="00C942EF"/>
    <w:rsid w:val="00CA4E76"/>
    <w:rsid w:val="00D35E92"/>
    <w:rsid w:val="00D37896"/>
    <w:rsid w:val="00D5286D"/>
    <w:rsid w:val="00D72542"/>
    <w:rsid w:val="00D85576"/>
    <w:rsid w:val="00DA1A5A"/>
    <w:rsid w:val="00DB428D"/>
    <w:rsid w:val="00DD6A1A"/>
    <w:rsid w:val="00DE075B"/>
    <w:rsid w:val="00DF7D82"/>
    <w:rsid w:val="00E0156A"/>
    <w:rsid w:val="00E02872"/>
    <w:rsid w:val="00E05E8A"/>
    <w:rsid w:val="00E76393"/>
    <w:rsid w:val="00E85656"/>
    <w:rsid w:val="00E94747"/>
    <w:rsid w:val="00ED4159"/>
    <w:rsid w:val="00F37118"/>
    <w:rsid w:val="00F550BA"/>
    <w:rsid w:val="00F91A4B"/>
    <w:rsid w:val="00F92316"/>
    <w:rsid w:val="00FB220E"/>
    <w:rsid w:val="00FC0466"/>
    <w:rsid w:val="00FC214C"/>
    <w:rsid w:val="00FD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079FC5"/>
  <w14:defaultImageDpi w14:val="300"/>
  <w15:docId w15:val="{A1B53AEE-A7EC-49E4-A85F-07D1A926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7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E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E76"/>
  </w:style>
  <w:style w:type="paragraph" w:styleId="Footer">
    <w:name w:val="footer"/>
    <w:basedOn w:val="Normal"/>
    <w:link w:val="FooterChar"/>
    <w:uiPriority w:val="99"/>
    <w:unhideWhenUsed/>
    <w:rsid w:val="00CA4E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E76"/>
  </w:style>
  <w:style w:type="table" w:styleId="TableGrid">
    <w:name w:val="Table Grid"/>
    <w:basedOn w:val="TableNormal"/>
    <w:uiPriority w:val="99"/>
    <w:rsid w:val="00C84CEF"/>
    <w:rPr>
      <w:rFonts w:ascii="Cambria" w:eastAsia="Times New Roman" w:hAnsi="Cambria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8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B154DA4A41914D9A986672B3398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F3D71-CAAF-FE4C-BCA8-0C4D46B4AF53}"/>
      </w:docPartPr>
      <w:docPartBody>
        <w:p w:rsidR="00C90E65" w:rsidRDefault="00C90E65" w:rsidP="00C90E65">
          <w:pPr>
            <w:pStyle w:val="22B154DA4A41914D9A986672B339850C"/>
          </w:pPr>
          <w:r>
            <w:t>[Type text]</w:t>
          </w:r>
        </w:p>
      </w:docPartBody>
    </w:docPart>
    <w:docPart>
      <w:docPartPr>
        <w:name w:val="ADEC0AB7F8EB1D47BDFBAFBCDA724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234E2-71EC-E249-BAFB-D2C010B4A04B}"/>
      </w:docPartPr>
      <w:docPartBody>
        <w:p w:rsidR="00C90E65" w:rsidRDefault="00C90E65" w:rsidP="00C90E65">
          <w:pPr>
            <w:pStyle w:val="ADEC0AB7F8EB1D47BDFBAFBCDA724153"/>
          </w:pPr>
          <w:r>
            <w:t>[Type text]</w:t>
          </w:r>
        </w:p>
      </w:docPartBody>
    </w:docPart>
    <w:docPart>
      <w:docPartPr>
        <w:name w:val="7CD9E4FED299884BBE40DD6BB5664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BD8E-655C-5C4F-8FD9-6077EA567102}"/>
      </w:docPartPr>
      <w:docPartBody>
        <w:p w:rsidR="00C90E65" w:rsidRDefault="00C90E65" w:rsidP="00C90E65">
          <w:pPr>
            <w:pStyle w:val="7CD9E4FED299884BBE40DD6BB5664F2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65"/>
    <w:rsid w:val="00053391"/>
    <w:rsid w:val="00396AC0"/>
    <w:rsid w:val="00402885"/>
    <w:rsid w:val="00880979"/>
    <w:rsid w:val="009B3133"/>
    <w:rsid w:val="009D173C"/>
    <w:rsid w:val="00AB0282"/>
    <w:rsid w:val="00B20699"/>
    <w:rsid w:val="00C90E65"/>
    <w:rsid w:val="00C9566E"/>
    <w:rsid w:val="00CD19EB"/>
    <w:rsid w:val="00F3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B154DA4A41914D9A986672B339850C">
    <w:name w:val="22B154DA4A41914D9A986672B339850C"/>
    <w:rsid w:val="00C90E65"/>
  </w:style>
  <w:style w:type="paragraph" w:customStyle="1" w:styleId="ADEC0AB7F8EB1D47BDFBAFBCDA724153">
    <w:name w:val="ADEC0AB7F8EB1D47BDFBAFBCDA724153"/>
    <w:rsid w:val="00C90E65"/>
  </w:style>
  <w:style w:type="paragraph" w:customStyle="1" w:styleId="7CD9E4FED299884BBE40DD6BB5664F2C">
    <w:name w:val="7CD9E4FED299884BBE40DD6BB5664F2C"/>
    <w:rsid w:val="00C90E65"/>
  </w:style>
  <w:style w:type="paragraph" w:customStyle="1" w:styleId="FBF19EA0978BF04D9D6E6D3A25962EFA">
    <w:name w:val="FBF19EA0978BF04D9D6E6D3A25962EFA"/>
    <w:rsid w:val="00C90E65"/>
  </w:style>
  <w:style w:type="paragraph" w:customStyle="1" w:styleId="3D47ADB04DA22541905EB37DBC2677A5">
    <w:name w:val="3D47ADB04DA22541905EB37DBC2677A5"/>
    <w:rsid w:val="00C90E65"/>
  </w:style>
  <w:style w:type="paragraph" w:customStyle="1" w:styleId="2A308C628454A24E9E3134FC4A932357">
    <w:name w:val="2A308C628454A24E9E3134FC4A932357"/>
    <w:rsid w:val="00C90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5D7844E0F944B11E5B4C6F475F19" ma:contentTypeVersion="4" ma:contentTypeDescription="Create a new document." ma:contentTypeScope="" ma:versionID="5ac5311a538f27cf7b85d2336415810c">
  <xsd:schema xmlns:xsd="http://www.w3.org/2001/XMLSchema" xmlns:xs="http://www.w3.org/2001/XMLSchema" xmlns:p="http://schemas.microsoft.com/office/2006/metadata/properties" xmlns:ns1="http://schemas.microsoft.com/sharepoint/v3" xmlns:ns2="7855adf1-e3c6-4953-ad7f-5174fa1ef499" targetNamespace="http://schemas.microsoft.com/office/2006/metadata/properties" ma:root="true" ma:fieldsID="116a693907e5c623a4c2f41ab8e88472" ns1:_="" ns2:_="">
    <xsd:import namespace="http://schemas.microsoft.com/sharepoint/v3"/>
    <xsd:import namespace="7855adf1-e3c6-4953-ad7f-5174fa1ef49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_x0020_Type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5adf1-e3c6-4953-ad7f-5174fa1ef499" elementFormDefault="qualified">
    <xsd:import namespace="http://schemas.microsoft.com/office/2006/documentManagement/types"/>
    <xsd:import namespace="http://schemas.microsoft.com/office/infopath/2007/PartnerControls"/>
    <xsd:element name="Doc_x0020_Type" ma:index="10" nillable="true" ma:displayName="Doc Type" ma:description="Type of document being posted" ma:internalName="Doc_x0020_Type">
      <xsd:simpleType>
        <xsd:restriction base="dms:Text">
          <xsd:maxLength value="255"/>
        </xsd:restriction>
      </xsd:simpleType>
    </xsd:element>
    <xsd:element name="Meeting_x0020_Date" ma:index="11" nillable="true" ma:displayName="Meeting Date" ma:description="date the agenda or minutes are for" ma:internalName="Meeting_x0020_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7855adf1-e3c6-4953-ad7f-5174fa1ef499" xsi:nil="true"/>
    <PublishingExpirationDate xmlns="http://schemas.microsoft.com/sharepoint/v3" xsi:nil="true"/>
    <Doc_x0020_Type xmlns="7855adf1-e3c6-4953-ad7f-5174fa1ef499">Create AP</Doc_x0020_Type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E273C2-20EE-4C23-BB98-A06C80653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8D2D2-C7AC-404B-BFF4-6AC7FF106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55adf1-e3c6-4953-ad7f-5174fa1ef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2EA16-1F6E-4D7B-8403-96C779DAF555}">
  <ds:schemaRefs>
    <ds:schemaRef ds:uri="http://schemas.microsoft.com/office/2006/metadata/properties"/>
    <ds:schemaRef ds:uri="http://schemas.microsoft.com/office/infopath/2007/PartnerControls"/>
    <ds:schemaRef ds:uri="7855adf1-e3c6-4953-ad7f-5174fa1ef49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91AC645-216E-4F78-95F1-1503244A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Fulton</dc:creator>
  <cp:keywords/>
  <dc:description/>
  <cp:lastModifiedBy>Zornitsa Georgieva</cp:lastModifiedBy>
  <cp:revision>2</cp:revision>
  <cp:lastPrinted>2016-09-06T17:49:00Z</cp:lastPrinted>
  <dcterms:created xsi:type="dcterms:W3CDTF">2017-10-17T21:09:00Z</dcterms:created>
  <dcterms:modified xsi:type="dcterms:W3CDTF">2017-10-17T21:09:00Z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0x010100BBBB5D7844E0F944B11E5B4C6F475F19</vt:lpwstr>
  </property>
</Properties>
</file>